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E96C" w14:textId="5B1FA7C7" w:rsidR="005B5CBC" w:rsidRDefault="005B5CBC" w:rsidP="005B5CBC">
      <w:pPr>
        <w:spacing w:after="480"/>
      </w:pPr>
      <w:r>
        <w:rPr>
          <w:noProof/>
        </w:rPr>
        <w:drawing>
          <wp:inline distT="0" distB="0" distL="0" distR="0" wp14:anchorId="7E3923CC" wp14:editId="711F463D">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5B5CBC" w14:paraId="207D4B47" w14:textId="77777777" w:rsidTr="008602E7">
        <w:trPr>
          <w:tblHeader/>
        </w:trPr>
        <w:tc>
          <w:tcPr>
            <w:tcW w:w="3456" w:type="dxa"/>
            <w:tcBorders>
              <w:bottom w:val="single" w:sz="18" w:space="0" w:color="auto"/>
            </w:tcBorders>
          </w:tcPr>
          <w:p w14:paraId="3906AB01" w14:textId="77777777" w:rsidR="005B5CBC" w:rsidRPr="00B805DB" w:rsidRDefault="005B5CBC" w:rsidP="008602E7">
            <w:pPr>
              <w:pStyle w:val="Heading1"/>
              <w:spacing w:after="240"/>
              <w:outlineLvl w:val="0"/>
            </w:pPr>
            <w:r>
              <w:t>Report f</w:t>
            </w:r>
            <w:r w:rsidRPr="00C869F3">
              <w:t>or:</w:t>
            </w:r>
          </w:p>
        </w:tc>
        <w:tc>
          <w:tcPr>
            <w:tcW w:w="5054" w:type="dxa"/>
            <w:tcBorders>
              <w:bottom w:val="single" w:sz="18" w:space="0" w:color="auto"/>
            </w:tcBorders>
          </w:tcPr>
          <w:p w14:paraId="4FDB05E0" w14:textId="77777777" w:rsidR="005B5CBC" w:rsidRPr="005E3A10" w:rsidRDefault="005B5CBC" w:rsidP="008602E7">
            <w:pPr>
              <w:pStyle w:val="Heading1"/>
              <w:outlineLvl w:val="0"/>
              <w:rPr>
                <w:szCs w:val="24"/>
              </w:rPr>
            </w:pPr>
            <w:r w:rsidRPr="005E3A10">
              <w:t>Cabinet</w:t>
            </w:r>
          </w:p>
        </w:tc>
      </w:tr>
      <w:tr w:rsidR="005B5CBC" w14:paraId="1BEA596F" w14:textId="77777777" w:rsidTr="008602E7">
        <w:tc>
          <w:tcPr>
            <w:tcW w:w="3456" w:type="dxa"/>
            <w:tcBorders>
              <w:top w:val="single" w:sz="18" w:space="0" w:color="auto"/>
            </w:tcBorders>
          </w:tcPr>
          <w:p w14:paraId="01BDA1A9" w14:textId="77777777" w:rsidR="005B5CBC" w:rsidRPr="00C13A5F" w:rsidRDefault="005B5CBC" w:rsidP="008602E7">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62EF9314" w14:textId="6BA68DEB" w:rsidR="005B5CBC" w:rsidRPr="005E3A10" w:rsidRDefault="007104B9" w:rsidP="008602E7">
            <w:pPr>
              <w:rPr>
                <w:rFonts w:cs="Arial"/>
                <w:szCs w:val="24"/>
              </w:rPr>
            </w:pPr>
            <w:r>
              <w:rPr>
                <w:rFonts w:cs="Arial"/>
                <w:szCs w:val="24"/>
              </w:rPr>
              <w:t>19</w:t>
            </w:r>
            <w:r w:rsidR="005B5CBC">
              <w:rPr>
                <w:rFonts w:cs="Arial"/>
                <w:szCs w:val="24"/>
              </w:rPr>
              <w:t xml:space="preserve"> January 202</w:t>
            </w:r>
            <w:r>
              <w:rPr>
                <w:rFonts w:cs="Arial"/>
                <w:szCs w:val="24"/>
              </w:rPr>
              <w:t>3</w:t>
            </w:r>
          </w:p>
        </w:tc>
      </w:tr>
      <w:tr w:rsidR="005B5CBC" w14:paraId="17497519" w14:textId="77777777" w:rsidTr="008602E7">
        <w:tc>
          <w:tcPr>
            <w:tcW w:w="3456" w:type="dxa"/>
          </w:tcPr>
          <w:p w14:paraId="0875C8C6" w14:textId="77777777" w:rsidR="005B5CBC" w:rsidRPr="00C13A5F" w:rsidRDefault="005B5CBC" w:rsidP="008602E7">
            <w:pPr>
              <w:pStyle w:val="Infotext"/>
              <w:spacing w:after="240"/>
              <w:rPr>
                <w:rFonts w:ascii="Arial Black" w:hAnsi="Arial Black"/>
              </w:rPr>
            </w:pPr>
            <w:r w:rsidRPr="00C13A5F">
              <w:rPr>
                <w:rFonts w:ascii="Arial Black" w:hAnsi="Arial Black" w:cs="Arial"/>
              </w:rPr>
              <w:t>Subject:</w:t>
            </w:r>
          </w:p>
        </w:tc>
        <w:tc>
          <w:tcPr>
            <w:tcW w:w="5054" w:type="dxa"/>
          </w:tcPr>
          <w:p w14:paraId="135B0B52" w14:textId="042ADAF9" w:rsidR="005B5CBC" w:rsidRDefault="005B5CBC" w:rsidP="008602E7">
            <w:pPr>
              <w:rPr>
                <w:rFonts w:cs="Arial"/>
              </w:rPr>
            </w:pPr>
            <w:r w:rsidRPr="00B2682B">
              <w:rPr>
                <w:rFonts w:cs="Arial"/>
              </w:rPr>
              <w:t>Calculation of Business Rates Tax Base for 202</w:t>
            </w:r>
            <w:r w:rsidR="007104B9">
              <w:rPr>
                <w:rFonts w:cs="Arial"/>
              </w:rPr>
              <w:t>3</w:t>
            </w:r>
            <w:r w:rsidRPr="00B2682B">
              <w:rPr>
                <w:rFonts w:cs="Arial"/>
              </w:rPr>
              <w:t>-202</w:t>
            </w:r>
            <w:r w:rsidR="007104B9">
              <w:rPr>
                <w:rFonts w:cs="Arial"/>
              </w:rPr>
              <w:t>4</w:t>
            </w:r>
          </w:p>
          <w:p w14:paraId="29A4186A" w14:textId="54D1E56B" w:rsidR="005B5CBC" w:rsidRPr="005E3A10" w:rsidRDefault="005B5CBC" w:rsidP="008602E7">
            <w:pPr>
              <w:rPr>
                <w:rFonts w:cs="Arial"/>
                <w:szCs w:val="24"/>
              </w:rPr>
            </w:pPr>
          </w:p>
        </w:tc>
      </w:tr>
      <w:tr w:rsidR="005B5CBC" w14:paraId="509BDF4F" w14:textId="77777777" w:rsidTr="008602E7">
        <w:tc>
          <w:tcPr>
            <w:tcW w:w="3456" w:type="dxa"/>
          </w:tcPr>
          <w:p w14:paraId="781E0AB5" w14:textId="77777777" w:rsidR="005B5CBC" w:rsidRPr="00C13A5F" w:rsidRDefault="005B5CBC" w:rsidP="008602E7">
            <w:pPr>
              <w:pStyle w:val="Infotext"/>
              <w:spacing w:after="240"/>
              <w:rPr>
                <w:rFonts w:ascii="Arial Black" w:hAnsi="Arial Black" w:cs="Arial"/>
              </w:rPr>
            </w:pPr>
            <w:r w:rsidRPr="00C13A5F">
              <w:rPr>
                <w:rFonts w:ascii="Arial Black" w:hAnsi="Arial Black" w:cs="Arial"/>
              </w:rPr>
              <w:t>Key Decision:</w:t>
            </w:r>
          </w:p>
        </w:tc>
        <w:tc>
          <w:tcPr>
            <w:tcW w:w="5054" w:type="dxa"/>
          </w:tcPr>
          <w:p w14:paraId="50E086B0" w14:textId="45D0EB68" w:rsidR="005B5CBC" w:rsidRPr="005E3A10" w:rsidRDefault="005B5CBC" w:rsidP="005B5CBC">
            <w:pPr>
              <w:pStyle w:val="Infotext"/>
              <w:rPr>
                <w:rFonts w:cs="Arial"/>
                <w:szCs w:val="24"/>
              </w:rPr>
            </w:pPr>
            <w:r w:rsidRPr="005E3A10">
              <w:rPr>
                <w:rFonts w:cs="Arial"/>
                <w:sz w:val="24"/>
                <w:szCs w:val="24"/>
              </w:rPr>
              <w:t xml:space="preserve">Yes </w:t>
            </w:r>
          </w:p>
        </w:tc>
      </w:tr>
      <w:tr w:rsidR="005B5CBC" w14:paraId="413E8877" w14:textId="77777777" w:rsidTr="008602E7">
        <w:tc>
          <w:tcPr>
            <w:tcW w:w="3456" w:type="dxa"/>
          </w:tcPr>
          <w:p w14:paraId="06D2BD95" w14:textId="77777777" w:rsidR="005B5CBC" w:rsidRPr="00C13A5F" w:rsidRDefault="005B5CBC" w:rsidP="008602E7">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3B3F1A9" w14:textId="77777777" w:rsidR="005B5CBC" w:rsidRDefault="005B5CBC" w:rsidP="00EA0493">
            <w:pPr>
              <w:rPr>
                <w:bCs/>
                <w:szCs w:val="24"/>
              </w:rPr>
            </w:pPr>
            <w:r>
              <w:rPr>
                <w:bCs/>
                <w:szCs w:val="24"/>
              </w:rPr>
              <w:t xml:space="preserve">Dawn Calvert - </w:t>
            </w:r>
            <w:r w:rsidRPr="00A961E8">
              <w:rPr>
                <w:bCs/>
                <w:szCs w:val="24"/>
              </w:rPr>
              <w:t>Director of Finance</w:t>
            </w:r>
            <w:r w:rsidR="006267BE">
              <w:rPr>
                <w:bCs/>
                <w:szCs w:val="24"/>
              </w:rPr>
              <w:t xml:space="preserve"> &amp; Assurance</w:t>
            </w:r>
          </w:p>
          <w:p w14:paraId="1EA1D394" w14:textId="5671B830" w:rsidR="00D701F3" w:rsidRPr="005E3A10" w:rsidRDefault="00D701F3" w:rsidP="00EA0493">
            <w:pPr>
              <w:rPr>
                <w:rFonts w:cs="Arial"/>
                <w:szCs w:val="24"/>
              </w:rPr>
            </w:pPr>
          </w:p>
        </w:tc>
      </w:tr>
      <w:tr w:rsidR="005B5CBC" w14:paraId="17D5016D" w14:textId="77777777" w:rsidTr="008602E7">
        <w:tc>
          <w:tcPr>
            <w:tcW w:w="3456" w:type="dxa"/>
          </w:tcPr>
          <w:p w14:paraId="170623CF" w14:textId="77777777" w:rsidR="005B5CBC" w:rsidRPr="00C13A5F" w:rsidRDefault="005B5CBC" w:rsidP="008602E7">
            <w:pPr>
              <w:pStyle w:val="Infotext"/>
              <w:spacing w:after="240"/>
              <w:rPr>
                <w:rFonts w:ascii="Arial Black" w:hAnsi="Arial Black"/>
              </w:rPr>
            </w:pPr>
            <w:r w:rsidRPr="00DB6C3D">
              <w:rPr>
                <w:rFonts w:ascii="Arial Black" w:hAnsi="Arial Black"/>
              </w:rPr>
              <w:t>Portfolio Holder:</w:t>
            </w:r>
          </w:p>
        </w:tc>
        <w:tc>
          <w:tcPr>
            <w:tcW w:w="5054" w:type="dxa"/>
          </w:tcPr>
          <w:p w14:paraId="23B4BA2C" w14:textId="26F1ECEF" w:rsidR="005B5CBC" w:rsidRPr="00DC7FD5" w:rsidRDefault="005B5CBC" w:rsidP="005B5CBC">
            <w:pPr>
              <w:pStyle w:val="Infotext"/>
              <w:rPr>
                <w:rFonts w:cs="Arial"/>
                <w:sz w:val="24"/>
                <w:szCs w:val="24"/>
              </w:rPr>
            </w:pPr>
            <w:r>
              <w:rPr>
                <w:sz w:val="24"/>
                <w:szCs w:val="24"/>
              </w:rPr>
              <w:t xml:space="preserve">Councillor </w:t>
            </w:r>
            <w:r w:rsidR="006267BE">
              <w:rPr>
                <w:sz w:val="24"/>
                <w:szCs w:val="24"/>
              </w:rPr>
              <w:t>David Ashton</w:t>
            </w:r>
            <w:r>
              <w:rPr>
                <w:sz w:val="24"/>
                <w:szCs w:val="24"/>
              </w:rPr>
              <w:t xml:space="preserve"> – Portfolio Holder for Finance</w:t>
            </w:r>
            <w:r w:rsidR="00440676">
              <w:rPr>
                <w:sz w:val="24"/>
                <w:szCs w:val="24"/>
              </w:rPr>
              <w:t xml:space="preserve"> and Human Resources</w:t>
            </w:r>
          </w:p>
          <w:p w14:paraId="33D5456C" w14:textId="721B7DC4" w:rsidR="005B5CBC" w:rsidRPr="005E3A10" w:rsidRDefault="005B5CBC" w:rsidP="008602E7">
            <w:pPr>
              <w:pStyle w:val="Infotext"/>
              <w:rPr>
                <w:rFonts w:cs="Arial"/>
                <w:color w:val="FF0000"/>
                <w:sz w:val="24"/>
                <w:szCs w:val="24"/>
              </w:rPr>
            </w:pPr>
          </w:p>
        </w:tc>
      </w:tr>
      <w:tr w:rsidR="005B5CBC" w14:paraId="154F5B0D" w14:textId="77777777" w:rsidTr="008602E7">
        <w:tc>
          <w:tcPr>
            <w:tcW w:w="3456" w:type="dxa"/>
          </w:tcPr>
          <w:p w14:paraId="61A4671F" w14:textId="77777777" w:rsidR="005B5CBC" w:rsidRPr="00C13A5F" w:rsidRDefault="005B5CBC" w:rsidP="008602E7">
            <w:pPr>
              <w:pStyle w:val="Infotext"/>
              <w:spacing w:after="240"/>
              <w:rPr>
                <w:rFonts w:ascii="Arial Black" w:hAnsi="Arial Black"/>
              </w:rPr>
            </w:pPr>
            <w:r w:rsidRPr="00DB6C3D">
              <w:rPr>
                <w:rFonts w:ascii="Arial Black" w:hAnsi="Arial Black"/>
              </w:rPr>
              <w:t>Exempt:</w:t>
            </w:r>
          </w:p>
        </w:tc>
        <w:tc>
          <w:tcPr>
            <w:tcW w:w="5054" w:type="dxa"/>
          </w:tcPr>
          <w:p w14:paraId="7B14F6C3" w14:textId="6756E819" w:rsidR="005B5CBC" w:rsidRPr="005E3A10" w:rsidRDefault="005B5CBC" w:rsidP="008602E7">
            <w:pPr>
              <w:pStyle w:val="Infotext"/>
              <w:rPr>
                <w:rFonts w:cs="Arial"/>
                <w:sz w:val="24"/>
                <w:szCs w:val="24"/>
              </w:rPr>
            </w:pPr>
            <w:r w:rsidRPr="005E3A10">
              <w:rPr>
                <w:rFonts w:cs="Arial"/>
                <w:sz w:val="24"/>
                <w:szCs w:val="24"/>
              </w:rPr>
              <w:t>No</w:t>
            </w:r>
          </w:p>
          <w:p w14:paraId="6D4BF052" w14:textId="77777777" w:rsidR="005B5CBC" w:rsidRPr="005E3A10" w:rsidRDefault="005B5CBC" w:rsidP="005B5CBC">
            <w:pPr>
              <w:pStyle w:val="Infotext"/>
              <w:rPr>
                <w:rFonts w:cs="Arial"/>
                <w:color w:val="FF0000"/>
                <w:sz w:val="24"/>
                <w:szCs w:val="24"/>
              </w:rPr>
            </w:pPr>
          </w:p>
        </w:tc>
      </w:tr>
      <w:tr w:rsidR="005B5CBC" w14:paraId="1E722B89" w14:textId="77777777" w:rsidTr="008602E7">
        <w:tc>
          <w:tcPr>
            <w:tcW w:w="3456" w:type="dxa"/>
          </w:tcPr>
          <w:p w14:paraId="2064AC82" w14:textId="77777777" w:rsidR="005B5CBC" w:rsidRPr="00C13A5F" w:rsidRDefault="005B5CBC" w:rsidP="008602E7">
            <w:pPr>
              <w:pStyle w:val="Infotext"/>
              <w:spacing w:after="240"/>
              <w:rPr>
                <w:rFonts w:ascii="Arial Black" w:hAnsi="Arial Black"/>
              </w:rPr>
            </w:pPr>
            <w:r w:rsidRPr="00DB6C3D">
              <w:rPr>
                <w:rFonts w:ascii="Arial Black" w:hAnsi="Arial Black"/>
              </w:rPr>
              <w:t>Decision subject to Call-in:</w:t>
            </w:r>
          </w:p>
        </w:tc>
        <w:tc>
          <w:tcPr>
            <w:tcW w:w="5054" w:type="dxa"/>
          </w:tcPr>
          <w:p w14:paraId="64294613" w14:textId="0C12F72E" w:rsidR="005B5CBC" w:rsidRPr="005E3A10" w:rsidRDefault="005B5CBC" w:rsidP="005B5CBC">
            <w:pPr>
              <w:pStyle w:val="Infotext"/>
              <w:rPr>
                <w:rFonts w:cs="Arial"/>
                <w:szCs w:val="24"/>
              </w:rPr>
            </w:pPr>
            <w:r w:rsidRPr="005E3A10">
              <w:rPr>
                <w:rFonts w:cs="Arial"/>
                <w:sz w:val="24"/>
                <w:szCs w:val="24"/>
              </w:rPr>
              <w:t xml:space="preserve">Yes </w:t>
            </w:r>
          </w:p>
        </w:tc>
      </w:tr>
      <w:tr w:rsidR="005B5CBC" w14:paraId="67E6A0F3" w14:textId="77777777" w:rsidTr="008602E7">
        <w:tc>
          <w:tcPr>
            <w:tcW w:w="3456" w:type="dxa"/>
          </w:tcPr>
          <w:p w14:paraId="1CFCD813" w14:textId="77777777" w:rsidR="005B5CBC" w:rsidRPr="00C13A5F" w:rsidRDefault="005B5CBC" w:rsidP="008602E7">
            <w:pPr>
              <w:pStyle w:val="Infotext"/>
              <w:spacing w:after="240"/>
              <w:rPr>
                <w:rFonts w:ascii="Arial Black" w:hAnsi="Arial Black" w:cs="Arial"/>
              </w:rPr>
            </w:pPr>
            <w:r>
              <w:rPr>
                <w:rFonts w:ascii="Arial Black" w:hAnsi="Arial Black" w:cs="Arial"/>
              </w:rPr>
              <w:t>Wards affected:</w:t>
            </w:r>
          </w:p>
        </w:tc>
        <w:tc>
          <w:tcPr>
            <w:tcW w:w="5054" w:type="dxa"/>
          </w:tcPr>
          <w:p w14:paraId="57836C82" w14:textId="6619AD3D" w:rsidR="005B5CBC" w:rsidRPr="00307F76" w:rsidRDefault="005B5CBC" w:rsidP="008602E7">
            <w:pPr>
              <w:rPr>
                <w:rFonts w:cs="Arial"/>
                <w:b/>
                <w:color w:val="FF0000"/>
                <w:szCs w:val="24"/>
              </w:rPr>
            </w:pPr>
            <w:r>
              <w:rPr>
                <w:rFonts w:cs="Arial"/>
                <w:szCs w:val="24"/>
              </w:rPr>
              <w:t>All</w:t>
            </w:r>
          </w:p>
        </w:tc>
      </w:tr>
      <w:tr w:rsidR="005B5CBC" w14:paraId="77C0EECD" w14:textId="77777777" w:rsidTr="008602E7">
        <w:tc>
          <w:tcPr>
            <w:tcW w:w="3456" w:type="dxa"/>
          </w:tcPr>
          <w:p w14:paraId="15B96F6F" w14:textId="77777777" w:rsidR="005B5CBC" w:rsidRPr="00C13A5F" w:rsidRDefault="005B5CBC" w:rsidP="008602E7">
            <w:pPr>
              <w:pStyle w:val="Infotext"/>
              <w:spacing w:after="240"/>
              <w:rPr>
                <w:rFonts w:ascii="Arial Black" w:hAnsi="Arial Black" w:cs="Arial"/>
              </w:rPr>
            </w:pPr>
            <w:r w:rsidRPr="00C13A5F">
              <w:rPr>
                <w:rFonts w:ascii="Arial Black" w:hAnsi="Arial Black" w:cs="Arial"/>
              </w:rPr>
              <w:t>Enclosures:</w:t>
            </w:r>
          </w:p>
        </w:tc>
        <w:tc>
          <w:tcPr>
            <w:tcW w:w="5054" w:type="dxa"/>
          </w:tcPr>
          <w:p w14:paraId="1738C3EC" w14:textId="6BD94BC3" w:rsidR="005B5CBC" w:rsidRPr="005E3A10" w:rsidRDefault="005B5CBC" w:rsidP="008602E7">
            <w:pPr>
              <w:pStyle w:val="Infotext"/>
              <w:rPr>
                <w:color w:val="FF0000"/>
                <w:sz w:val="24"/>
                <w:szCs w:val="24"/>
              </w:rPr>
            </w:pPr>
            <w:r>
              <w:rPr>
                <w:rFonts w:cs="Arial"/>
                <w:sz w:val="24"/>
                <w:szCs w:val="24"/>
              </w:rPr>
              <w:t>None</w:t>
            </w:r>
          </w:p>
        </w:tc>
      </w:tr>
    </w:tbl>
    <w:p w14:paraId="371039FB" w14:textId="3F9625E9" w:rsidR="005B5CBC" w:rsidRDefault="005B5CBC"/>
    <w:p w14:paraId="5DA68A13" w14:textId="77777777" w:rsidR="005B5CBC" w:rsidRDefault="005B5CB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283BC0C2" w14:textId="77777777" w:rsidTr="00BB7863">
        <w:tc>
          <w:tcPr>
            <w:tcW w:w="8309" w:type="dxa"/>
            <w:tcBorders>
              <w:top w:val="nil"/>
              <w:left w:val="nil"/>
              <w:right w:val="nil"/>
            </w:tcBorders>
          </w:tcPr>
          <w:p w14:paraId="15D6F1E7" w14:textId="77777777" w:rsidR="00333FAA" w:rsidRDefault="00333FAA" w:rsidP="00A53B04">
            <w:pPr>
              <w:pStyle w:val="Heading1"/>
            </w:pPr>
            <w:r>
              <w:lastRenderedPageBreak/>
              <w:t>Section 1 – Summary and Recommendations</w:t>
            </w:r>
          </w:p>
          <w:p w14:paraId="720AED3A" w14:textId="77777777" w:rsidR="00333FAA" w:rsidRDefault="00333FAA" w:rsidP="00A53B04"/>
        </w:tc>
      </w:tr>
      <w:tr w:rsidR="00333FAA" w14:paraId="7494E71B" w14:textId="77777777" w:rsidTr="00BB7863">
        <w:tc>
          <w:tcPr>
            <w:tcW w:w="8309" w:type="dxa"/>
          </w:tcPr>
          <w:p w14:paraId="175EA187" w14:textId="3B3EDE21" w:rsidR="00A93C4F" w:rsidRDefault="00CE2A7D" w:rsidP="00A93C4F">
            <w:pPr>
              <w:ind w:right="72"/>
              <w:jc w:val="both"/>
              <w:rPr>
                <w:rFonts w:cs="Arial"/>
              </w:rPr>
            </w:pPr>
            <w:r>
              <w:rPr>
                <w:rFonts w:cs="Arial"/>
              </w:rPr>
              <w:t xml:space="preserve">1.1 </w:t>
            </w:r>
            <w:r w:rsidR="00A93C4F" w:rsidRPr="00997EFC">
              <w:rPr>
                <w:rFonts w:cs="Arial"/>
              </w:rPr>
              <w:t>The Local Government Finance Act 1988 places a duty on the authority to calculate the business rates for the area annually as part of its budget setting process.</w:t>
            </w:r>
            <w:r w:rsidR="00A93C4F">
              <w:rPr>
                <w:rFonts w:cs="Arial"/>
              </w:rPr>
              <w:t xml:space="preserve"> </w:t>
            </w:r>
          </w:p>
          <w:p w14:paraId="246783B9" w14:textId="77777777" w:rsidR="00A93C4F" w:rsidRDefault="00A93C4F" w:rsidP="00A93C4F">
            <w:pPr>
              <w:ind w:right="72"/>
              <w:jc w:val="both"/>
              <w:rPr>
                <w:rFonts w:cs="Arial"/>
              </w:rPr>
            </w:pPr>
          </w:p>
          <w:p w14:paraId="32351538" w14:textId="21DBEA24" w:rsidR="00A93C4F" w:rsidRDefault="00CE2A7D" w:rsidP="00A93C4F">
            <w:pPr>
              <w:ind w:right="72"/>
              <w:jc w:val="both"/>
              <w:rPr>
                <w:rFonts w:cs="Arial"/>
              </w:rPr>
            </w:pPr>
            <w:r>
              <w:rPr>
                <w:rFonts w:cs="Arial"/>
              </w:rPr>
              <w:t xml:space="preserve">1.2 </w:t>
            </w:r>
            <w:r w:rsidR="00A93C4F" w:rsidRPr="00AF4E19">
              <w:rPr>
                <w:rFonts w:cs="Arial"/>
              </w:rPr>
              <w:t>This report estimates the business rates yield for 20</w:t>
            </w:r>
            <w:r w:rsidR="00A93C4F">
              <w:rPr>
                <w:rFonts w:cs="Arial"/>
              </w:rPr>
              <w:t>2</w:t>
            </w:r>
            <w:r w:rsidR="000C635D">
              <w:rPr>
                <w:rFonts w:cs="Arial"/>
              </w:rPr>
              <w:t>3</w:t>
            </w:r>
            <w:r w:rsidR="00A93C4F" w:rsidRPr="00AF4E19">
              <w:rPr>
                <w:rFonts w:cs="Arial"/>
              </w:rPr>
              <w:t>-20</w:t>
            </w:r>
            <w:r w:rsidR="00A93C4F">
              <w:rPr>
                <w:rFonts w:cs="Arial"/>
              </w:rPr>
              <w:t>2</w:t>
            </w:r>
            <w:r w:rsidR="000C635D">
              <w:rPr>
                <w:rFonts w:cs="Arial"/>
              </w:rPr>
              <w:t>4</w:t>
            </w:r>
            <w:r w:rsidR="00A93C4F" w:rsidRPr="00AF4E19">
              <w:rPr>
                <w:rFonts w:cs="Arial"/>
              </w:rPr>
              <w:t>, of which</w:t>
            </w:r>
            <w:r w:rsidR="00A93C4F">
              <w:rPr>
                <w:rFonts w:cs="Arial"/>
              </w:rPr>
              <w:t xml:space="preserve"> the Council </w:t>
            </w:r>
            <w:r w:rsidR="00A93C4F" w:rsidRPr="00AF4E19">
              <w:rPr>
                <w:rFonts w:cs="Arial"/>
              </w:rPr>
              <w:t xml:space="preserve">is allowed to retain an element described in more detail </w:t>
            </w:r>
            <w:r w:rsidR="00A93C4F">
              <w:rPr>
                <w:rFonts w:cs="Arial"/>
              </w:rPr>
              <w:t>below.</w:t>
            </w:r>
            <w:r w:rsidR="00A93C4F" w:rsidRPr="00AF4E19">
              <w:rPr>
                <w:rFonts w:cs="Arial"/>
              </w:rPr>
              <w:t xml:space="preserve"> This element forms an important part of budget setting for </w:t>
            </w:r>
            <w:r w:rsidR="00A93C4F">
              <w:rPr>
                <w:rFonts w:cs="Arial"/>
              </w:rPr>
              <w:t xml:space="preserve">the coming </w:t>
            </w:r>
            <w:r w:rsidR="0026024D">
              <w:rPr>
                <w:rFonts w:cs="Arial"/>
              </w:rPr>
              <w:t xml:space="preserve">financial </w:t>
            </w:r>
            <w:r w:rsidR="00A93C4F">
              <w:rPr>
                <w:rFonts w:cs="Arial"/>
              </w:rPr>
              <w:t>year.</w:t>
            </w:r>
          </w:p>
          <w:p w14:paraId="397BC3FC" w14:textId="77777777" w:rsidR="00A93C4F" w:rsidRPr="00997EFC" w:rsidRDefault="00A93C4F" w:rsidP="00A93C4F">
            <w:pPr>
              <w:ind w:right="72"/>
              <w:jc w:val="both"/>
              <w:rPr>
                <w:rFonts w:cs="Arial"/>
              </w:rPr>
            </w:pPr>
          </w:p>
          <w:p w14:paraId="5C1A6EB1" w14:textId="22EFE8CC" w:rsidR="00A93C4F" w:rsidRDefault="00CE2A7D" w:rsidP="00A93C4F">
            <w:pPr>
              <w:ind w:right="72"/>
              <w:jc w:val="both"/>
              <w:rPr>
                <w:rFonts w:cs="Arial"/>
              </w:rPr>
            </w:pPr>
            <w:r>
              <w:rPr>
                <w:rFonts w:cs="Arial"/>
              </w:rPr>
              <w:t xml:space="preserve">1.3 </w:t>
            </w:r>
            <w:r w:rsidR="00A93C4F" w:rsidRPr="00BA6662">
              <w:rPr>
                <w:rFonts w:cs="Arial"/>
              </w:rPr>
              <w:t xml:space="preserve">Regulations require billing authorities to formally calculate the estimated level of </w:t>
            </w:r>
            <w:r w:rsidR="0080231D" w:rsidRPr="00BA6662">
              <w:rPr>
                <w:rFonts w:cs="Arial"/>
              </w:rPr>
              <w:t>non-</w:t>
            </w:r>
            <w:r w:rsidR="00C10883" w:rsidRPr="00BA6662">
              <w:rPr>
                <w:rFonts w:cs="Arial"/>
              </w:rPr>
              <w:t>domestic rates</w:t>
            </w:r>
            <w:r w:rsidR="00A93C4F" w:rsidRPr="00BA6662">
              <w:rPr>
                <w:rFonts w:cs="Arial"/>
              </w:rPr>
              <w:t xml:space="preserve"> (NDR) it anticipates to collect for 20</w:t>
            </w:r>
            <w:r w:rsidR="00A93C4F">
              <w:rPr>
                <w:rFonts w:cs="Arial"/>
              </w:rPr>
              <w:t>2</w:t>
            </w:r>
            <w:r w:rsidR="00D30F4D">
              <w:rPr>
                <w:rFonts w:cs="Arial"/>
              </w:rPr>
              <w:t>3</w:t>
            </w:r>
            <w:r w:rsidR="00A93C4F" w:rsidRPr="00BA6662">
              <w:rPr>
                <w:rFonts w:cs="Arial"/>
              </w:rPr>
              <w:t>-20</w:t>
            </w:r>
            <w:r w:rsidR="00A93C4F">
              <w:rPr>
                <w:rFonts w:cs="Arial"/>
              </w:rPr>
              <w:t>2</w:t>
            </w:r>
            <w:r w:rsidR="00D30F4D">
              <w:rPr>
                <w:rFonts w:cs="Arial"/>
              </w:rPr>
              <w:t>4</w:t>
            </w:r>
            <w:r w:rsidR="00A93C4F" w:rsidRPr="00BA6662">
              <w:rPr>
                <w:rFonts w:cs="Arial"/>
              </w:rPr>
              <w:t xml:space="preserve"> and pass this information </w:t>
            </w:r>
            <w:r w:rsidR="00C10883" w:rsidRPr="00BA6662">
              <w:rPr>
                <w:rFonts w:cs="Arial"/>
              </w:rPr>
              <w:t>to the</w:t>
            </w:r>
            <w:r w:rsidR="00A93C4F" w:rsidRPr="00BA6662">
              <w:rPr>
                <w:rFonts w:cs="Arial"/>
              </w:rPr>
              <w:t xml:space="preserve"> Secretary of State and precepting authorities by  31 January in the preceding </w:t>
            </w:r>
            <w:r w:rsidR="0026024D">
              <w:rPr>
                <w:rFonts w:cs="Arial"/>
              </w:rPr>
              <w:t xml:space="preserve">financial </w:t>
            </w:r>
            <w:r w:rsidR="00A93C4F" w:rsidRPr="00BA6662">
              <w:rPr>
                <w:rFonts w:cs="Arial"/>
              </w:rPr>
              <w:t xml:space="preserve">year.  </w:t>
            </w:r>
          </w:p>
          <w:p w14:paraId="7D155576" w14:textId="77777777" w:rsidR="00A93C4F" w:rsidRDefault="00A93C4F" w:rsidP="00A93C4F">
            <w:pPr>
              <w:ind w:right="72"/>
              <w:jc w:val="both"/>
              <w:rPr>
                <w:rFonts w:cs="Arial"/>
              </w:rPr>
            </w:pPr>
          </w:p>
          <w:p w14:paraId="367C95EA" w14:textId="67D2B8B1" w:rsidR="00A93C4F" w:rsidRDefault="00CE2A7D" w:rsidP="00A93C4F">
            <w:pPr>
              <w:ind w:right="72"/>
              <w:jc w:val="both"/>
              <w:rPr>
                <w:rFonts w:cs="Arial"/>
              </w:rPr>
            </w:pPr>
            <w:r>
              <w:rPr>
                <w:rFonts w:cs="Arial"/>
              </w:rPr>
              <w:t xml:space="preserve">1.4 </w:t>
            </w:r>
            <w:r w:rsidR="00874136">
              <w:rPr>
                <w:rFonts w:cs="Arial"/>
              </w:rPr>
              <w:t>Harrow’s share is 30%</w:t>
            </w:r>
            <w:r w:rsidR="008C266E">
              <w:rPr>
                <w:rFonts w:cs="Arial"/>
              </w:rPr>
              <w:t xml:space="preserve"> </w:t>
            </w:r>
            <w:r w:rsidR="00EB4CD3">
              <w:rPr>
                <w:rFonts w:cs="Arial"/>
              </w:rPr>
              <w:t xml:space="preserve">with </w:t>
            </w:r>
            <w:r w:rsidR="00A93C4F" w:rsidRPr="0036638F">
              <w:rPr>
                <w:rFonts w:cs="Arial"/>
              </w:rPr>
              <w:t xml:space="preserve">central </w:t>
            </w:r>
            <w:r w:rsidR="00446920">
              <w:rPr>
                <w:rFonts w:cs="Arial"/>
              </w:rPr>
              <w:t xml:space="preserve">government’s </w:t>
            </w:r>
            <w:r w:rsidR="00A93C4F" w:rsidRPr="0036638F">
              <w:rPr>
                <w:rFonts w:cs="Arial"/>
              </w:rPr>
              <w:t>share</w:t>
            </w:r>
            <w:r w:rsidR="003B1258">
              <w:rPr>
                <w:rFonts w:cs="Arial"/>
              </w:rPr>
              <w:t xml:space="preserve"> </w:t>
            </w:r>
            <w:r w:rsidR="008C266E">
              <w:rPr>
                <w:rFonts w:cs="Arial"/>
              </w:rPr>
              <w:t>being</w:t>
            </w:r>
            <w:r w:rsidR="00A93C4F" w:rsidRPr="0036638F">
              <w:rPr>
                <w:rFonts w:cs="Arial"/>
              </w:rPr>
              <w:t xml:space="preserve"> </w:t>
            </w:r>
            <w:r w:rsidR="00A93C4F">
              <w:rPr>
                <w:rFonts w:cs="Arial"/>
              </w:rPr>
              <w:t>33</w:t>
            </w:r>
            <w:r w:rsidR="00A93C4F" w:rsidRPr="0036638F">
              <w:rPr>
                <w:rFonts w:cs="Arial"/>
              </w:rPr>
              <w:t>%</w:t>
            </w:r>
            <w:r w:rsidR="008C266E">
              <w:rPr>
                <w:rFonts w:cs="Arial"/>
              </w:rPr>
              <w:t xml:space="preserve">, </w:t>
            </w:r>
            <w:r w:rsidR="0080231D">
              <w:rPr>
                <w:rFonts w:cs="Arial"/>
              </w:rPr>
              <w:t xml:space="preserve">and </w:t>
            </w:r>
            <w:r w:rsidR="002B6189">
              <w:rPr>
                <w:rFonts w:cs="Arial"/>
              </w:rPr>
              <w:t xml:space="preserve">the GLA </w:t>
            </w:r>
            <w:r w:rsidR="00C86A75">
              <w:rPr>
                <w:rFonts w:cs="Arial"/>
              </w:rPr>
              <w:t>3</w:t>
            </w:r>
            <w:r w:rsidR="00A93C4F">
              <w:rPr>
                <w:rFonts w:cs="Arial"/>
              </w:rPr>
              <w:t>7</w:t>
            </w:r>
            <w:r w:rsidR="00A93C4F" w:rsidRPr="0036638F">
              <w:rPr>
                <w:rFonts w:cs="Arial"/>
              </w:rPr>
              <w:t>%</w:t>
            </w:r>
            <w:r w:rsidR="008C266E">
              <w:rPr>
                <w:rFonts w:cs="Arial"/>
              </w:rPr>
              <w:t>.</w:t>
            </w:r>
          </w:p>
          <w:p w14:paraId="64900A32" w14:textId="77777777" w:rsidR="008C266E" w:rsidRDefault="008C266E" w:rsidP="00A93C4F">
            <w:pPr>
              <w:ind w:right="72"/>
              <w:jc w:val="both"/>
              <w:rPr>
                <w:rFonts w:cs="Arial"/>
              </w:rPr>
            </w:pPr>
          </w:p>
          <w:p w14:paraId="04E4185A" w14:textId="77777777" w:rsidR="00A93C4F" w:rsidRPr="00997EFC" w:rsidRDefault="00A93C4F" w:rsidP="00A93C4F">
            <w:pPr>
              <w:outlineLvl w:val="1"/>
              <w:rPr>
                <w:rFonts w:cs="Arial"/>
                <w:b/>
                <w:bCs/>
                <w:sz w:val="28"/>
                <w:szCs w:val="32"/>
              </w:rPr>
            </w:pPr>
            <w:r w:rsidRPr="00997EFC">
              <w:rPr>
                <w:rFonts w:cs="Arial"/>
                <w:b/>
                <w:bCs/>
                <w:sz w:val="28"/>
                <w:szCs w:val="32"/>
              </w:rPr>
              <w:t xml:space="preserve">Recommendations: </w:t>
            </w:r>
          </w:p>
          <w:p w14:paraId="3D86F5A9" w14:textId="77777777" w:rsidR="00A93C4F" w:rsidRPr="00997EFC" w:rsidRDefault="00A93C4F" w:rsidP="00A93C4F">
            <w:pPr>
              <w:ind w:right="-104"/>
              <w:rPr>
                <w:rFonts w:cs="Arial"/>
              </w:rPr>
            </w:pPr>
            <w:r w:rsidRPr="00997EFC">
              <w:rPr>
                <w:rFonts w:cs="Arial"/>
              </w:rPr>
              <w:t xml:space="preserve">That Cabinet considers the information given in this report and: </w:t>
            </w:r>
          </w:p>
          <w:p w14:paraId="7D8B1A60" w14:textId="77777777" w:rsidR="00A93C4F" w:rsidRPr="00997EFC" w:rsidRDefault="00A93C4F" w:rsidP="00A93C4F">
            <w:pPr>
              <w:ind w:right="-104"/>
              <w:rPr>
                <w:rFonts w:cs="Arial"/>
              </w:rPr>
            </w:pPr>
            <w:r w:rsidRPr="00997EFC">
              <w:rPr>
                <w:rFonts w:cs="Arial"/>
              </w:rPr>
              <w:t xml:space="preserve">  </w:t>
            </w:r>
          </w:p>
          <w:p w14:paraId="5C7FC7BD" w14:textId="73A875CD" w:rsidR="00A93C4F" w:rsidRPr="00146837" w:rsidRDefault="00C56A79" w:rsidP="00146837">
            <w:pPr>
              <w:ind w:right="-104"/>
              <w:jc w:val="both"/>
              <w:rPr>
                <w:rFonts w:cs="Arial"/>
              </w:rPr>
            </w:pPr>
            <w:r>
              <w:rPr>
                <w:rFonts w:cs="Arial"/>
              </w:rPr>
              <w:t>(</w:t>
            </w:r>
            <w:r w:rsidR="00146837">
              <w:rPr>
                <w:rFonts w:cs="Arial"/>
              </w:rPr>
              <w:t>a</w:t>
            </w:r>
            <w:r>
              <w:rPr>
                <w:rFonts w:cs="Arial"/>
              </w:rPr>
              <w:t>)</w:t>
            </w:r>
            <w:r w:rsidR="00146837">
              <w:rPr>
                <w:rFonts w:cs="Arial"/>
              </w:rPr>
              <w:t xml:space="preserve"> </w:t>
            </w:r>
            <w:r w:rsidR="00A93C4F" w:rsidRPr="00146837">
              <w:rPr>
                <w:rFonts w:cs="Arial"/>
              </w:rPr>
              <w:t>Note</w:t>
            </w:r>
            <w:r w:rsidR="003B1258" w:rsidRPr="00146837">
              <w:rPr>
                <w:rFonts w:cs="Arial"/>
              </w:rPr>
              <w:t>s</w:t>
            </w:r>
            <w:r w:rsidR="00A93C4F" w:rsidRPr="00146837">
              <w:rPr>
                <w:rFonts w:cs="Arial"/>
              </w:rPr>
              <w:t xml:space="preserve"> the approach and assumptions for the calculation of the Council’s business rates yield as set out in this report.</w:t>
            </w:r>
          </w:p>
          <w:p w14:paraId="7D0C5528" w14:textId="77777777" w:rsidR="0092649C" w:rsidRDefault="0092649C" w:rsidP="00146837">
            <w:pPr>
              <w:ind w:right="-104"/>
              <w:jc w:val="both"/>
              <w:rPr>
                <w:rFonts w:cs="Arial"/>
              </w:rPr>
            </w:pPr>
          </w:p>
          <w:p w14:paraId="077BDCEA" w14:textId="5715DEAC" w:rsidR="00A93C4F" w:rsidRPr="00866EF2" w:rsidRDefault="00941B5D" w:rsidP="00146837">
            <w:pPr>
              <w:ind w:right="-104"/>
              <w:jc w:val="both"/>
              <w:rPr>
                <w:rFonts w:cs="Arial"/>
              </w:rPr>
            </w:pPr>
            <w:r>
              <w:rPr>
                <w:rFonts w:cs="Arial"/>
              </w:rPr>
              <w:t>(</w:t>
            </w:r>
            <w:r w:rsidR="00146837">
              <w:rPr>
                <w:rFonts w:cs="Arial"/>
              </w:rPr>
              <w:t>b</w:t>
            </w:r>
            <w:r>
              <w:rPr>
                <w:rFonts w:cs="Arial"/>
              </w:rPr>
              <w:t>)</w:t>
            </w:r>
            <w:r w:rsidR="00146837">
              <w:rPr>
                <w:rFonts w:cs="Arial"/>
              </w:rPr>
              <w:t xml:space="preserve"> </w:t>
            </w:r>
            <w:r w:rsidR="00A93C4F" w:rsidRPr="006B5FFE">
              <w:rPr>
                <w:rFonts w:cs="Arial"/>
              </w:rPr>
              <w:t>Agrees that, in accordance with the Non-Domestic Rating (Rates Retention) Regulations 2013, the amount calculated by the London Borough of Harrow as its business rates yield for the year 202</w:t>
            </w:r>
            <w:r w:rsidR="00BF1A03">
              <w:rPr>
                <w:rFonts w:cs="Arial"/>
              </w:rPr>
              <w:t>3</w:t>
            </w:r>
            <w:r w:rsidR="00A93C4F" w:rsidRPr="006B5FFE">
              <w:rPr>
                <w:rFonts w:cs="Arial"/>
              </w:rPr>
              <w:t>-202</w:t>
            </w:r>
            <w:r w:rsidR="00BF1A03">
              <w:rPr>
                <w:rFonts w:cs="Arial"/>
              </w:rPr>
              <w:t>4</w:t>
            </w:r>
            <w:r w:rsidR="00A93C4F" w:rsidRPr="006B5FFE">
              <w:rPr>
                <w:rFonts w:cs="Arial"/>
              </w:rPr>
              <w:t xml:space="preserve"> shall be </w:t>
            </w:r>
            <w:r w:rsidR="00A93C4F" w:rsidRPr="00C10883">
              <w:rPr>
                <w:rFonts w:cs="Arial"/>
                <w:b/>
                <w:bCs/>
              </w:rPr>
              <w:t>£1</w:t>
            </w:r>
            <w:r w:rsidR="00A5663F" w:rsidRPr="00C10883">
              <w:rPr>
                <w:rFonts w:cs="Arial"/>
                <w:b/>
                <w:bCs/>
              </w:rPr>
              <w:t>2</w:t>
            </w:r>
            <w:r w:rsidR="00A93C4F" w:rsidRPr="00C10883">
              <w:rPr>
                <w:rFonts w:cs="Arial"/>
                <w:b/>
                <w:bCs/>
              </w:rPr>
              <w:t>.</w:t>
            </w:r>
            <w:r w:rsidR="00A5663F" w:rsidRPr="00C10883">
              <w:rPr>
                <w:rFonts w:cs="Arial"/>
                <w:b/>
                <w:bCs/>
              </w:rPr>
              <w:t>76</w:t>
            </w:r>
            <w:r w:rsidR="00CA7453" w:rsidRPr="00C10883">
              <w:rPr>
                <w:rFonts w:cs="Arial"/>
                <w:b/>
                <w:bCs/>
              </w:rPr>
              <w:t>8</w:t>
            </w:r>
            <w:r w:rsidR="00A93C4F" w:rsidRPr="00C10883">
              <w:rPr>
                <w:rFonts w:cs="Arial"/>
                <w:b/>
                <w:bCs/>
              </w:rPr>
              <w:t>m</w:t>
            </w:r>
            <w:r w:rsidR="00A93C4F" w:rsidRPr="00C10883">
              <w:rPr>
                <w:rFonts w:cs="Arial"/>
              </w:rPr>
              <w:t xml:space="preserve"> </w:t>
            </w:r>
            <w:r w:rsidR="00A93C4F" w:rsidRPr="00866EF2">
              <w:rPr>
                <w:rFonts w:cs="Arial"/>
              </w:rPr>
              <w:t>as shown in the table below.</w:t>
            </w:r>
          </w:p>
          <w:p w14:paraId="35D6AACA" w14:textId="77777777" w:rsidR="00A93C4F" w:rsidRPr="00866EF2" w:rsidRDefault="00A93C4F" w:rsidP="00A93C4F">
            <w:pPr>
              <w:ind w:left="360" w:right="-104"/>
              <w:jc w:val="both"/>
              <w:rPr>
                <w:rFonts w:cs="Arial"/>
              </w:rPr>
            </w:pPr>
          </w:p>
          <w:tbl>
            <w:tblPr>
              <w:tblW w:w="776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638"/>
              <w:gridCol w:w="1173"/>
            </w:tblGrid>
            <w:tr w:rsidR="00866EF2" w:rsidRPr="00866EF2" w14:paraId="50A48AE9" w14:textId="77777777" w:rsidTr="00A642B1">
              <w:tc>
                <w:tcPr>
                  <w:tcW w:w="950" w:type="dxa"/>
                </w:tcPr>
                <w:p w14:paraId="774D3A8A" w14:textId="77777777" w:rsidR="00A93C4F" w:rsidRPr="00AC79A2" w:rsidRDefault="00A93C4F" w:rsidP="004C43E5">
                  <w:pPr>
                    <w:ind w:right="-104"/>
                    <w:rPr>
                      <w:rFonts w:cs="Arial"/>
                    </w:rPr>
                  </w:pPr>
                </w:p>
              </w:tc>
              <w:tc>
                <w:tcPr>
                  <w:tcW w:w="5638" w:type="dxa"/>
                </w:tcPr>
                <w:p w14:paraId="68CBBE9C" w14:textId="77777777" w:rsidR="00A93C4F" w:rsidRPr="00AC79A2" w:rsidRDefault="00A93C4F" w:rsidP="004C43E5">
                  <w:pPr>
                    <w:ind w:right="-104"/>
                    <w:rPr>
                      <w:rFonts w:cs="Arial"/>
                    </w:rPr>
                  </w:pPr>
                </w:p>
              </w:tc>
              <w:tc>
                <w:tcPr>
                  <w:tcW w:w="1173" w:type="dxa"/>
                </w:tcPr>
                <w:p w14:paraId="6B5C57E3" w14:textId="77777777" w:rsidR="00A93C4F" w:rsidRPr="00AC79A2" w:rsidRDefault="00A93C4F" w:rsidP="004C43E5">
                  <w:pPr>
                    <w:ind w:right="-104"/>
                    <w:jc w:val="center"/>
                    <w:rPr>
                      <w:rFonts w:cs="Arial"/>
                    </w:rPr>
                  </w:pPr>
                  <w:r w:rsidRPr="00AC79A2">
                    <w:rPr>
                      <w:rFonts w:cs="Arial"/>
                    </w:rPr>
                    <w:t>£m</w:t>
                  </w:r>
                </w:p>
              </w:tc>
            </w:tr>
            <w:tr w:rsidR="00866EF2" w:rsidRPr="00866EF2" w14:paraId="60680D7F" w14:textId="77777777" w:rsidTr="00A642B1">
              <w:tc>
                <w:tcPr>
                  <w:tcW w:w="950" w:type="dxa"/>
                </w:tcPr>
                <w:p w14:paraId="5371F8C4" w14:textId="77777777" w:rsidR="00A93C4F" w:rsidRPr="00AC79A2" w:rsidRDefault="00A93C4F" w:rsidP="004C43E5">
                  <w:pPr>
                    <w:ind w:right="-104"/>
                    <w:rPr>
                      <w:rFonts w:cs="Arial"/>
                    </w:rPr>
                  </w:pPr>
                </w:p>
              </w:tc>
              <w:tc>
                <w:tcPr>
                  <w:tcW w:w="5638" w:type="dxa"/>
                </w:tcPr>
                <w:p w14:paraId="5661552A" w14:textId="56002677" w:rsidR="00A93C4F" w:rsidRPr="00AC79A2" w:rsidRDefault="00A93C4F" w:rsidP="004C43E5">
                  <w:pPr>
                    <w:ind w:right="-104"/>
                    <w:rPr>
                      <w:rFonts w:cs="Arial"/>
                    </w:rPr>
                  </w:pPr>
                  <w:r w:rsidRPr="00AC79A2">
                    <w:rPr>
                      <w:rFonts w:cs="Arial"/>
                    </w:rPr>
                    <w:t>Projected NDR Income 202</w:t>
                  </w:r>
                  <w:r w:rsidR="00E55422" w:rsidRPr="00AC79A2">
                    <w:rPr>
                      <w:rFonts w:cs="Arial"/>
                    </w:rPr>
                    <w:t>3</w:t>
                  </w:r>
                  <w:r w:rsidRPr="00AC79A2">
                    <w:rPr>
                      <w:rFonts w:cs="Arial"/>
                    </w:rPr>
                    <w:t>/2</w:t>
                  </w:r>
                  <w:r w:rsidR="00E55422" w:rsidRPr="00AC79A2">
                    <w:rPr>
                      <w:rFonts w:cs="Arial"/>
                    </w:rPr>
                    <w:t>4</w:t>
                  </w:r>
                </w:p>
              </w:tc>
              <w:tc>
                <w:tcPr>
                  <w:tcW w:w="1173" w:type="dxa"/>
                </w:tcPr>
                <w:p w14:paraId="6F0CFD8D" w14:textId="3DE062DE" w:rsidR="00A93C4F" w:rsidRPr="00AC79A2" w:rsidRDefault="00767F1E" w:rsidP="004C43E5">
                  <w:pPr>
                    <w:ind w:left="-468" w:right="-104" w:firstLine="468"/>
                    <w:jc w:val="center"/>
                    <w:rPr>
                      <w:rFonts w:cs="Arial"/>
                    </w:rPr>
                  </w:pPr>
                  <w:r w:rsidRPr="00AC79A2">
                    <w:rPr>
                      <w:rFonts w:cs="Arial"/>
                    </w:rPr>
                    <w:t>4</w:t>
                  </w:r>
                  <w:r w:rsidR="00A5663F">
                    <w:rPr>
                      <w:rFonts w:cs="Arial"/>
                    </w:rPr>
                    <w:t>2</w:t>
                  </w:r>
                  <w:r w:rsidR="00A93C4F" w:rsidRPr="00AC79A2">
                    <w:rPr>
                      <w:rFonts w:cs="Arial"/>
                    </w:rPr>
                    <w:t>.</w:t>
                  </w:r>
                  <w:r w:rsidR="007A4C99" w:rsidRPr="00AC79A2">
                    <w:rPr>
                      <w:rFonts w:cs="Arial"/>
                    </w:rPr>
                    <w:t>5</w:t>
                  </w:r>
                  <w:r w:rsidR="00853DBB">
                    <w:rPr>
                      <w:rFonts w:cs="Arial"/>
                    </w:rPr>
                    <w:t>60</w:t>
                  </w:r>
                </w:p>
              </w:tc>
            </w:tr>
            <w:tr w:rsidR="00866EF2" w:rsidRPr="00866EF2" w14:paraId="7D592AD0" w14:textId="77777777" w:rsidTr="00A642B1">
              <w:tc>
                <w:tcPr>
                  <w:tcW w:w="950" w:type="dxa"/>
                </w:tcPr>
                <w:p w14:paraId="12DAA3F8" w14:textId="77777777" w:rsidR="00A93C4F" w:rsidRPr="00AC79A2" w:rsidRDefault="00A93C4F" w:rsidP="004C43E5">
                  <w:pPr>
                    <w:ind w:right="-104"/>
                    <w:rPr>
                      <w:rFonts w:cs="Arial"/>
                    </w:rPr>
                  </w:pPr>
                  <w:r w:rsidRPr="00AC79A2">
                    <w:rPr>
                      <w:rFonts w:cs="Arial"/>
                    </w:rPr>
                    <w:t>Less</w:t>
                  </w:r>
                </w:p>
              </w:tc>
              <w:tc>
                <w:tcPr>
                  <w:tcW w:w="5638" w:type="dxa"/>
                </w:tcPr>
                <w:p w14:paraId="68D12AF9" w14:textId="3B330C61" w:rsidR="00A93C4F" w:rsidRPr="00AC79A2" w:rsidRDefault="00A93C4F" w:rsidP="004C43E5">
                  <w:pPr>
                    <w:ind w:right="-104"/>
                    <w:rPr>
                      <w:rFonts w:cs="Arial"/>
                    </w:rPr>
                  </w:pPr>
                  <w:r w:rsidRPr="00AC79A2">
                    <w:rPr>
                      <w:rFonts w:cs="Arial"/>
                    </w:rPr>
                    <w:t>Payable to D</w:t>
                  </w:r>
                  <w:r w:rsidR="001838D4" w:rsidRPr="00AC79A2">
                    <w:rPr>
                      <w:rFonts w:cs="Arial"/>
                    </w:rPr>
                    <w:t>LUHC</w:t>
                  </w:r>
                  <w:r w:rsidRPr="00AC79A2">
                    <w:rPr>
                      <w:rFonts w:cs="Arial"/>
                    </w:rPr>
                    <w:t xml:space="preserve"> (33% Central Share)</w:t>
                  </w:r>
                </w:p>
              </w:tc>
              <w:tc>
                <w:tcPr>
                  <w:tcW w:w="1173" w:type="dxa"/>
                </w:tcPr>
                <w:p w14:paraId="3B6A700B" w14:textId="7C3243D3" w:rsidR="00A93C4F" w:rsidRPr="00AC79A2" w:rsidRDefault="00A93C4F" w:rsidP="004C43E5">
                  <w:pPr>
                    <w:ind w:right="-104"/>
                    <w:jc w:val="center"/>
                    <w:rPr>
                      <w:rFonts w:cs="Arial"/>
                    </w:rPr>
                  </w:pPr>
                  <w:r w:rsidRPr="00AC79A2">
                    <w:rPr>
                      <w:rFonts w:cs="Arial"/>
                    </w:rPr>
                    <w:t>(1</w:t>
                  </w:r>
                  <w:r w:rsidR="00A5663F">
                    <w:rPr>
                      <w:rFonts w:cs="Arial"/>
                    </w:rPr>
                    <w:t>4</w:t>
                  </w:r>
                  <w:r w:rsidRPr="00AC79A2">
                    <w:rPr>
                      <w:rFonts w:cs="Arial"/>
                    </w:rPr>
                    <w:t>.</w:t>
                  </w:r>
                  <w:r w:rsidR="00A5663F">
                    <w:rPr>
                      <w:rFonts w:cs="Arial"/>
                    </w:rPr>
                    <w:t>045</w:t>
                  </w:r>
                  <w:r w:rsidRPr="00AC79A2">
                    <w:rPr>
                      <w:rFonts w:cs="Arial"/>
                    </w:rPr>
                    <w:t>)</w:t>
                  </w:r>
                </w:p>
              </w:tc>
            </w:tr>
            <w:tr w:rsidR="00866EF2" w:rsidRPr="00866EF2" w14:paraId="00518295" w14:textId="77777777" w:rsidTr="00A642B1">
              <w:tc>
                <w:tcPr>
                  <w:tcW w:w="950" w:type="dxa"/>
                </w:tcPr>
                <w:p w14:paraId="60CC5F14" w14:textId="77777777" w:rsidR="00A93C4F" w:rsidRPr="00AC79A2" w:rsidRDefault="00A93C4F" w:rsidP="004C43E5">
                  <w:pPr>
                    <w:ind w:right="-104"/>
                    <w:rPr>
                      <w:rFonts w:cs="Arial"/>
                    </w:rPr>
                  </w:pPr>
                  <w:r w:rsidRPr="00AC79A2">
                    <w:rPr>
                      <w:rFonts w:cs="Arial"/>
                    </w:rPr>
                    <w:t xml:space="preserve">Less </w:t>
                  </w:r>
                </w:p>
              </w:tc>
              <w:tc>
                <w:tcPr>
                  <w:tcW w:w="5638" w:type="dxa"/>
                </w:tcPr>
                <w:p w14:paraId="1B68634D" w14:textId="77777777" w:rsidR="00A93C4F" w:rsidRPr="00AC79A2" w:rsidRDefault="00A93C4F" w:rsidP="004C43E5">
                  <w:pPr>
                    <w:ind w:right="-104"/>
                    <w:rPr>
                      <w:rFonts w:cs="Arial"/>
                    </w:rPr>
                  </w:pPr>
                  <w:r w:rsidRPr="00AC79A2">
                    <w:rPr>
                      <w:rFonts w:cs="Arial"/>
                    </w:rPr>
                    <w:t>Payable to the Greater London Authority (37%)</w:t>
                  </w:r>
                </w:p>
              </w:tc>
              <w:tc>
                <w:tcPr>
                  <w:tcW w:w="1173" w:type="dxa"/>
                </w:tcPr>
                <w:p w14:paraId="0EB63D12" w14:textId="1899134C" w:rsidR="00A93C4F" w:rsidRPr="00AC79A2" w:rsidRDefault="00A93C4F" w:rsidP="004C43E5">
                  <w:pPr>
                    <w:ind w:right="-104"/>
                    <w:jc w:val="center"/>
                    <w:rPr>
                      <w:rFonts w:cs="Arial"/>
                      <w:u w:val="single"/>
                    </w:rPr>
                  </w:pPr>
                  <w:r w:rsidRPr="00AC79A2">
                    <w:rPr>
                      <w:rFonts w:cs="Arial"/>
                      <w:u w:val="single"/>
                    </w:rPr>
                    <w:t>(1</w:t>
                  </w:r>
                  <w:r w:rsidR="00A5663F">
                    <w:rPr>
                      <w:rFonts w:cs="Arial"/>
                      <w:u w:val="single"/>
                    </w:rPr>
                    <w:t>5</w:t>
                  </w:r>
                  <w:r w:rsidRPr="00AC79A2">
                    <w:rPr>
                      <w:rFonts w:cs="Arial"/>
                      <w:u w:val="single"/>
                    </w:rPr>
                    <w:t>.</w:t>
                  </w:r>
                  <w:r w:rsidR="00A5663F">
                    <w:rPr>
                      <w:rFonts w:cs="Arial"/>
                      <w:u w:val="single"/>
                    </w:rPr>
                    <w:t>747</w:t>
                  </w:r>
                  <w:r w:rsidRPr="00AC79A2">
                    <w:rPr>
                      <w:rFonts w:cs="Arial"/>
                      <w:u w:val="single"/>
                    </w:rPr>
                    <w:t>)</w:t>
                  </w:r>
                </w:p>
              </w:tc>
            </w:tr>
            <w:tr w:rsidR="00866EF2" w:rsidRPr="00866EF2" w14:paraId="2BD0ECE2" w14:textId="77777777" w:rsidTr="00A642B1">
              <w:tc>
                <w:tcPr>
                  <w:tcW w:w="950" w:type="dxa"/>
                </w:tcPr>
                <w:p w14:paraId="520B3398" w14:textId="77777777" w:rsidR="00A93C4F" w:rsidRPr="00AC79A2" w:rsidRDefault="00A93C4F" w:rsidP="004C43E5">
                  <w:pPr>
                    <w:ind w:right="-104"/>
                    <w:rPr>
                      <w:rFonts w:cs="Arial"/>
                    </w:rPr>
                  </w:pPr>
                  <w:r w:rsidRPr="00AC79A2">
                    <w:rPr>
                      <w:rFonts w:cs="Arial"/>
                    </w:rPr>
                    <w:t>Equals</w:t>
                  </w:r>
                </w:p>
              </w:tc>
              <w:tc>
                <w:tcPr>
                  <w:tcW w:w="5638" w:type="dxa"/>
                </w:tcPr>
                <w:p w14:paraId="12C7212B" w14:textId="77777777" w:rsidR="00A93C4F" w:rsidRPr="00AC79A2" w:rsidRDefault="00A93C4F" w:rsidP="004C43E5">
                  <w:pPr>
                    <w:ind w:right="-104"/>
                    <w:rPr>
                      <w:rFonts w:cs="Arial"/>
                    </w:rPr>
                  </w:pPr>
                  <w:r w:rsidRPr="00AC79A2">
                    <w:rPr>
                      <w:rFonts w:cs="Arial"/>
                    </w:rPr>
                    <w:t>Amount to be retained by Harrow (30</w:t>
                  </w:r>
                  <w:r w:rsidRPr="00AC79A2">
                    <w:rPr>
                      <w:rFonts w:cs="Arial"/>
                      <w:b/>
                    </w:rPr>
                    <w:t>%</w:t>
                  </w:r>
                  <w:r w:rsidRPr="00AC79A2">
                    <w:rPr>
                      <w:rFonts w:cs="Arial"/>
                    </w:rPr>
                    <w:t>)</w:t>
                  </w:r>
                </w:p>
              </w:tc>
              <w:tc>
                <w:tcPr>
                  <w:tcW w:w="1173" w:type="dxa"/>
                </w:tcPr>
                <w:p w14:paraId="7C503367" w14:textId="2FD859B4" w:rsidR="00A93C4F" w:rsidRPr="00AC79A2" w:rsidRDefault="00A93C4F" w:rsidP="004C43E5">
                  <w:pPr>
                    <w:ind w:right="-104"/>
                    <w:jc w:val="center"/>
                    <w:rPr>
                      <w:rFonts w:cs="Arial"/>
                      <w:b/>
                      <w:i/>
                    </w:rPr>
                  </w:pPr>
                  <w:r w:rsidRPr="00AC79A2">
                    <w:rPr>
                      <w:rFonts w:cs="Arial"/>
                      <w:b/>
                      <w:i/>
                    </w:rPr>
                    <w:t>1</w:t>
                  </w:r>
                  <w:r w:rsidR="00A5663F">
                    <w:rPr>
                      <w:rFonts w:cs="Arial"/>
                      <w:b/>
                      <w:i/>
                    </w:rPr>
                    <w:t>2</w:t>
                  </w:r>
                  <w:r w:rsidRPr="00AC79A2">
                    <w:rPr>
                      <w:rFonts w:cs="Arial"/>
                      <w:b/>
                      <w:i/>
                    </w:rPr>
                    <w:t>.</w:t>
                  </w:r>
                  <w:r w:rsidR="00A5663F">
                    <w:rPr>
                      <w:rFonts w:cs="Arial"/>
                      <w:b/>
                      <w:i/>
                    </w:rPr>
                    <w:t>76</w:t>
                  </w:r>
                  <w:r w:rsidR="00853DBB">
                    <w:rPr>
                      <w:rFonts w:cs="Arial"/>
                      <w:b/>
                      <w:i/>
                    </w:rPr>
                    <w:t>8</w:t>
                  </w:r>
                </w:p>
              </w:tc>
            </w:tr>
            <w:tr w:rsidR="00866EF2" w:rsidRPr="00866EF2" w14:paraId="2A2691BE" w14:textId="77777777" w:rsidTr="00A642B1">
              <w:tc>
                <w:tcPr>
                  <w:tcW w:w="950" w:type="dxa"/>
                </w:tcPr>
                <w:p w14:paraId="091C5453" w14:textId="77777777" w:rsidR="00A93C4F" w:rsidRPr="00AC79A2" w:rsidRDefault="00A93C4F" w:rsidP="004C43E5">
                  <w:pPr>
                    <w:ind w:right="-104"/>
                    <w:rPr>
                      <w:rFonts w:cs="Arial"/>
                    </w:rPr>
                  </w:pPr>
                </w:p>
              </w:tc>
              <w:tc>
                <w:tcPr>
                  <w:tcW w:w="5638" w:type="dxa"/>
                </w:tcPr>
                <w:p w14:paraId="1EDBACCD" w14:textId="77777777" w:rsidR="00A93C4F" w:rsidRPr="00AC79A2" w:rsidRDefault="00A93C4F" w:rsidP="004C43E5">
                  <w:pPr>
                    <w:ind w:right="-104"/>
                    <w:rPr>
                      <w:rFonts w:cs="Arial"/>
                    </w:rPr>
                  </w:pPr>
                </w:p>
              </w:tc>
              <w:tc>
                <w:tcPr>
                  <w:tcW w:w="1173" w:type="dxa"/>
                </w:tcPr>
                <w:p w14:paraId="6C80F43C" w14:textId="77777777" w:rsidR="00A93C4F" w:rsidRPr="00AC79A2" w:rsidRDefault="00A93C4F" w:rsidP="004C43E5">
                  <w:pPr>
                    <w:ind w:right="-104"/>
                    <w:jc w:val="center"/>
                    <w:rPr>
                      <w:rFonts w:cs="Arial"/>
                    </w:rPr>
                  </w:pPr>
                </w:p>
              </w:tc>
            </w:tr>
            <w:tr w:rsidR="00AB5233" w:rsidRPr="00866EF2" w14:paraId="6D030E93" w14:textId="77777777" w:rsidTr="00A642B1">
              <w:tc>
                <w:tcPr>
                  <w:tcW w:w="950" w:type="dxa"/>
                </w:tcPr>
                <w:p w14:paraId="6D7ABC11" w14:textId="488D00D9" w:rsidR="00AB5233" w:rsidRPr="00AC79A2" w:rsidRDefault="00AB5233" w:rsidP="004C43E5">
                  <w:pPr>
                    <w:ind w:right="-104"/>
                    <w:rPr>
                      <w:rFonts w:cs="Arial"/>
                    </w:rPr>
                  </w:pPr>
                  <w:r w:rsidRPr="00AC79A2">
                    <w:rPr>
                      <w:rFonts w:cs="Arial"/>
                    </w:rPr>
                    <w:t>Add</w:t>
                  </w:r>
                </w:p>
              </w:tc>
              <w:tc>
                <w:tcPr>
                  <w:tcW w:w="5638" w:type="dxa"/>
                </w:tcPr>
                <w:p w14:paraId="188DBC82" w14:textId="30DE89FC" w:rsidR="00AB5233" w:rsidRPr="00AC79A2" w:rsidRDefault="00AB5233" w:rsidP="004C43E5">
                  <w:pPr>
                    <w:ind w:right="-104"/>
                    <w:rPr>
                      <w:rFonts w:cs="Arial"/>
                    </w:rPr>
                  </w:pPr>
                  <w:r w:rsidRPr="00AC79A2">
                    <w:rPr>
                      <w:rFonts w:cs="Arial"/>
                    </w:rPr>
                    <w:t>Section 31 Grant</w:t>
                  </w:r>
                </w:p>
              </w:tc>
              <w:tc>
                <w:tcPr>
                  <w:tcW w:w="1173" w:type="dxa"/>
                </w:tcPr>
                <w:p w14:paraId="10858319" w14:textId="5C90E435" w:rsidR="00AB5233" w:rsidRPr="00AC79A2" w:rsidRDefault="00443504" w:rsidP="004C43E5">
                  <w:pPr>
                    <w:ind w:right="-104"/>
                    <w:jc w:val="center"/>
                    <w:rPr>
                      <w:rFonts w:cs="Arial"/>
                    </w:rPr>
                  </w:pPr>
                  <w:r>
                    <w:rPr>
                      <w:rFonts w:cs="Arial"/>
                    </w:rPr>
                    <w:t>4.873</w:t>
                  </w:r>
                </w:p>
              </w:tc>
            </w:tr>
            <w:tr w:rsidR="00AB5233" w:rsidRPr="00866EF2" w14:paraId="13930F26" w14:textId="77777777" w:rsidTr="00A642B1">
              <w:tc>
                <w:tcPr>
                  <w:tcW w:w="950" w:type="dxa"/>
                </w:tcPr>
                <w:p w14:paraId="4CA88703" w14:textId="77777777" w:rsidR="00AB5233" w:rsidRPr="00AC79A2" w:rsidRDefault="00AB5233" w:rsidP="004C43E5">
                  <w:pPr>
                    <w:ind w:right="-104"/>
                    <w:rPr>
                      <w:rFonts w:cs="Arial"/>
                    </w:rPr>
                  </w:pPr>
                </w:p>
              </w:tc>
              <w:tc>
                <w:tcPr>
                  <w:tcW w:w="5638" w:type="dxa"/>
                </w:tcPr>
                <w:p w14:paraId="785057B3" w14:textId="60DC8807" w:rsidR="00AB5233" w:rsidRPr="00AC79A2" w:rsidRDefault="0031357C" w:rsidP="004C43E5">
                  <w:pPr>
                    <w:ind w:right="-104"/>
                    <w:rPr>
                      <w:rFonts w:cs="Arial"/>
                      <w:b/>
                      <w:bCs/>
                    </w:rPr>
                  </w:pPr>
                  <w:r w:rsidRPr="00AC79A2">
                    <w:rPr>
                      <w:rFonts w:cs="Arial"/>
                      <w:b/>
                      <w:bCs/>
                    </w:rPr>
                    <w:t>Total</w:t>
                  </w:r>
                </w:p>
              </w:tc>
              <w:tc>
                <w:tcPr>
                  <w:tcW w:w="1173" w:type="dxa"/>
                </w:tcPr>
                <w:p w14:paraId="3D417785" w14:textId="10C60FE3" w:rsidR="00AB5233" w:rsidRPr="00AC79A2" w:rsidRDefault="0031357C" w:rsidP="004C43E5">
                  <w:pPr>
                    <w:ind w:right="-104"/>
                    <w:jc w:val="center"/>
                    <w:rPr>
                      <w:rFonts w:cs="Arial"/>
                      <w:b/>
                      <w:bCs/>
                    </w:rPr>
                  </w:pPr>
                  <w:r w:rsidRPr="00AC79A2">
                    <w:rPr>
                      <w:rFonts w:cs="Arial"/>
                      <w:b/>
                      <w:bCs/>
                    </w:rPr>
                    <w:t>1</w:t>
                  </w:r>
                  <w:r w:rsidR="00443504">
                    <w:rPr>
                      <w:rFonts w:cs="Arial"/>
                      <w:b/>
                      <w:bCs/>
                    </w:rPr>
                    <w:t>7</w:t>
                  </w:r>
                  <w:r w:rsidRPr="00AC79A2">
                    <w:rPr>
                      <w:rFonts w:cs="Arial"/>
                      <w:b/>
                      <w:bCs/>
                    </w:rPr>
                    <w:t>.</w:t>
                  </w:r>
                  <w:r w:rsidR="003365A1">
                    <w:rPr>
                      <w:rFonts w:cs="Arial"/>
                      <w:b/>
                      <w:bCs/>
                    </w:rPr>
                    <w:t>64</w:t>
                  </w:r>
                  <w:r w:rsidR="00853DBB">
                    <w:rPr>
                      <w:rFonts w:cs="Arial"/>
                      <w:b/>
                      <w:bCs/>
                    </w:rPr>
                    <w:t>1</w:t>
                  </w:r>
                </w:p>
              </w:tc>
            </w:tr>
          </w:tbl>
          <w:p w14:paraId="24B1E7E3" w14:textId="77777777" w:rsidR="00A93C4F" w:rsidRDefault="00A93C4F" w:rsidP="00A93C4F">
            <w:pPr>
              <w:ind w:left="720" w:hanging="720"/>
              <w:rPr>
                <w:rFonts w:cs="Arial"/>
              </w:rPr>
            </w:pPr>
          </w:p>
          <w:p w14:paraId="6E5B3D61" w14:textId="2627EDBC" w:rsidR="00A93C4F" w:rsidRPr="005B5F35" w:rsidRDefault="00941B5D" w:rsidP="00C56A79">
            <w:pPr>
              <w:jc w:val="both"/>
              <w:rPr>
                <w:rFonts w:cs="Arial"/>
              </w:rPr>
            </w:pPr>
            <w:r>
              <w:rPr>
                <w:rFonts w:cs="Arial"/>
              </w:rPr>
              <w:t xml:space="preserve">(c) </w:t>
            </w:r>
            <w:r w:rsidR="00A93C4F">
              <w:rPr>
                <w:rFonts w:cs="Arial"/>
              </w:rPr>
              <w:t>Agree</w:t>
            </w:r>
            <w:r w:rsidR="00035F59">
              <w:rPr>
                <w:rFonts w:cs="Arial"/>
              </w:rPr>
              <w:t>s</w:t>
            </w:r>
            <w:r w:rsidR="00A93C4F">
              <w:rPr>
                <w:rFonts w:cs="Arial"/>
              </w:rPr>
              <w:t xml:space="preserve"> t</w:t>
            </w:r>
            <w:r w:rsidR="00A93C4F" w:rsidRPr="005B5F35">
              <w:rPr>
                <w:rFonts w:cs="Arial"/>
              </w:rPr>
              <w:t>hat</w:t>
            </w:r>
            <w:r w:rsidR="00610620">
              <w:rPr>
                <w:rFonts w:cs="Arial"/>
              </w:rPr>
              <w:t xml:space="preserve"> </w:t>
            </w:r>
            <w:r w:rsidR="00A93C4F" w:rsidRPr="005B5F35">
              <w:rPr>
                <w:rFonts w:cs="Arial"/>
              </w:rPr>
              <w:t xml:space="preserve">the </w:t>
            </w:r>
            <w:r w:rsidR="00A93C4F" w:rsidRPr="00AF4E19">
              <w:rPr>
                <w:rFonts w:cs="Arial"/>
              </w:rPr>
              <w:t>Council's Chief Finance Officer (section 151 officer)</w:t>
            </w:r>
            <w:r w:rsidR="0080231D">
              <w:rPr>
                <w:rFonts w:cs="Arial"/>
              </w:rPr>
              <w:t xml:space="preserve">, following consultation with the Portfolio Holder for Finance and </w:t>
            </w:r>
            <w:r w:rsidR="00C10883">
              <w:rPr>
                <w:rFonts w:cs="Arial"/>
              </w:rPr>
              <w:t xml:space="preserve">Human </w:t>
            </w:r>
            <w:r w:rsidR="0080231D">
              <w:rPr>
                <w:rFonts w:cs="Arial"/>
              </w:rPr>
              <w:t>Resources,</w:t>
            </w:r>
            <w:r w:rsidR="00A93C4F" w:rsidRPr="00AF4E19">
              <w:rPr>
                <w:rFonts w:cs="Arial"/>
              </w:rPr>
              <w:t xml:space="preserve"> </w:t>
            </w:r>
            <w:r w:rsidR="009C66CD">
              <w:rPr>
                <w:rFonts w:cs="Arial"/>
              </w:rPr>
              <w:t xml:space="preserve">be authorised </w:t>
            </w:r>
            <w:r w:rsidR="00A93C4F" w:rsidRPr="005B5F35">
              <w:rPr>
                <w:rFonts w:cs="Arial"/>
              </w:rPr>
              <w:t xml:space="preserve">to submit the notification of the calculation of the estimated Non-Domestic Rates income to the Secretary </w:t>
            </w:r>
            <w:r w:rsidR="00A93C4F">
              <w:rPr>
                <w:rFonts w:cs="Arial"/>
              </w:rPr>
              <w:t>of State and the Greater London Authority (GLA) by 31 January 202</w:t>
            </w:r>
            <w:r w:rsidR="00466BD3">
              <w:rPr>
                <w:rFonts w:cs="Arial"/>
              </w:rPr>
              <w:t>3</w:t>
            </w:r>
            <w:r w:rsidR="00A93C4F">
              <w:rPr>
                <w:rFonts w:cs="Arial"/>
              </w:rPr>
              <w:t xml:space="preserve"> or other date as may be prescribed.</w:t>
            </w:r>
          </w:p>
          <w:p w14:paraId="3D4EA208" w14:textId="77777777" w:rsidR="00A93C4F" w:rsidRPr="00997EFC" w:rsidRDefault="00A93C4F" w:rsidP="00A93C4F">
            <w:pPr>
              <w:ind w:left="360"/>
              <w:rPr>
                <w:rFonts w:cs="Arial"/>
              </w:rPr>
            </w:pPr>
          </w:p>
          <w:p w14:paraId="0CAAE70C" w14:textId="30DA6EA2" w:rsidR="00A93C4F" w:rsidRDefault="00941B5D" w:rsidP="00124F2C">
            <w:pPr>
              <w:jc w:val="both"/>
              <w:rPr>
                <w:rFonts w:cs="Arial"/>
                <w:szCs w:val="24"/>
              </w:rPr>
            </w:pPr>
            <w:r>
              <w:rPr>
                <w:rFonts w:cs="Arial"/>
                <w:szCs w:val="24"/>
              </w:rPr>
              <w:t>(</w:t>
            </w:r>
            <w:r w:rsidR="00C56A79">
              <w:rPr>
                <w:rFonts w:cs="Arial"/>
                <w:szCs w:val="24"/>
              </w:rPr>
              <w:t>d</w:t>
            </w:r>
            <w:r w:rsidR="00133AD3">
              <w:rPr>
                <w:rFonts w:cs="Arial"/>
                <w:szCs w:val="24"/>
              </w:rPr>
              <w:t>)</w:t>
            </w:r>
            <w:r w:rsidR="00C56A79">
              <w:rPr>
                <w:rFonts w:cs="Arial"/>
                <w:szCs w:val="24"/>
              </w:rPr>
              <w:t xml:space="preserve"> </w:t>
            </w:r>
            <w:r w:rsidR="00A93C4F">
              <w:rPr>
                <w:rFonts w:cs="Arial"/>
                <w:szCs w:val="24"/>
              </w:rPr>
              <w:t>Agrees that t</w:t>
            </w:r>
            <w:r w:rsidR="00A93C4F" w:rsidRPr="005B5F35">
              <w:rPr>
                <w:rFonts w:cs="Arial"/>
                <w:szCs w:val="24"/>
              </w:rPr>
              <w:t>he Council's Chief Finance Officer (section 151 officer)</w:t>
            </w:r>
            <w:r w:rsidR="009C66CD">
              <w:rPr>
                <w:rFonts w:cs="Arial"/>
                <w:szCs w:val="24"/>
              </w:rPr>
              <w:t>,</w:t>
            </w:r>
            <w:r w:rsidR="00A93C4F" w:rsidRPr="005B5F35">
              <w:rPr>
                <w:rFonts w:cs="Arial"/>
                <w:szCs w:val="24"/>
              </w:rPr>
              <w:t xml:space="preserve"> following consultation with the Portfolio Holder</w:t>
            </w:r>
            <w:r w:rsidR="0080231D">
              <w:rPr>
                <w:rFonts w:cs="Arial"/>
                <w:szCs w:val="24"/>
              </w:rPr>
              <w:t xml:space="preserve"> for Finance and </w:t>
            </w:r>
            <w:r w:rsidR="00C10883">
              <w:rPr>
                <w:rFonts w:cs="Arial"/>
                <w:szCs w:val="24"/>
              </w:rPr>
              <w:t xml:space="preserve">Human </w:t>
            </w:r>
            <w:r w:rsidR="0080231D">
              <w:rPr>
                <w:rFonts w:cs="Arial"/>
                <w:szCs w:val="24"/>
              </w:rPr>
              <w:t>Resources</w:t>
            </w:r>
            <w:r w:rsidR="00A93C4F" w:rsidRPr="005B5F35">
              <w:rPr>
                <w:rFonts w:cs="Arial"/>
                <w:szCs w:val="24"/>
              </w:rPr>
              <w:t xml:space="preserve">, </w:t>
            </w:r>
            <w:r w:rsidR="009C66CD">
              <w:rPr>
                <w:rFonts w:cs="Arial"/>
                <w:szCs w:val="24"/>
              </w:rPr>
              <w:t xml:space="preserve">be authorised </w:t>
            </w:r>
            <w:r w:rsidR="00A93C4F" w:rsidRPr="005B5F35">
              <w:rPr>
                <w:rFonts w:cs="Arial"/>
                <w:szCs w:val="24"/>
              </w:rPr>
              <w:t>to submit revised figures (from those above) to the Secretary of State and GLA, if further clarification is receiv</w:t>
            </w:r>
            <w:r w:rsidR="001B3577">
              <w:rPr>
                <w:rFonts w:cs="Arial"/>
                <w:szCs w:val="24"/>
              </w:rPr>
              <w:t>ed from</w:t>
            </w:r>
            <w:r w:rsidR="001B3577">
              <w:rPr>
                <w:rFonts w:cs="Arial"/>
                <w:szCs w:val="24"/>
                <w:lang w:val="en" w:eastAsia="en-GB"/>
              </w:rPr>
              <w:t xml:space="preserve"> the </w:t>
            </w:r>
            <w:r w:rsidR="001B3577">
              <w:t>Department for Levelling Up, Housing &amp; Communities (DLUHC)</w:t>
            </w:r>
            <w:r w:rsidR="001B3577" w:rsidRPr="00BF0DB1">
              <w:rPr>
                <w:rFonts w:cs="Arial"/>
                <w:szCs w:val="24"/>
                <w:lang w:val="en" w:eastAsia="en-GB"/>
              </w:rPr>
              <w:t xml:space="preserve"> </w:t>
            </w:r>
            <w:r w:rsidR="00A93C4F" w:rsidRPr="005B5F35">
              <w:rPr>
                <w:rFonts w:cs="Arial"/>
                <w:szCs w:val="24"/>
              </w:rPr>
              <w:t xml:space="preserve">on the </w:t>
            </w:r>
            <w:r w:rsidR="00A93C4F" w:rsidRPr="005B5F35">
              <w:rPr>
                <w:rFonts w:cs="Arial"/>
                <w:szCs w:val="24"/>
              </w:rPr>
              <w:lastRenderedPageBreak/>
              <w:t>financial impact of the proposed changes to the authority and how this is to be calculated</w:t>
            </w:r>
            <w:r w:rsidR="00A93C4F">
              <w:rPr>
                <w:rFonts w:cs="Arial"/>
                <w:szCs w:val="24"/>
              </w:rPr>
              <w:t>.</w:t>
            </w:r>
          </w:p>
          <w:p w14:paraId="23FC1D5C" w14:textId="77777777" w:rsidR="00B449E0" w:rsidRDefault="00B449E0" w:rsidP="00B449E0">
            <w:pPr>
              <w:pStyle w:val="ListParagraph"/>
              <w:rPr>
                <w:rFonts w:cs="Arial"/>
                <w:szCs w:val="24"/>
              </w:rPr>
            </w:pPr>
          </w:p>
          <w:p w14:paraId="52F7FB06" w14:textId="6C425662" w:rsidR="00124F2C" w:rsidRPr="001942C4" w:rsidRDefault="00124F2C" w:rsidP="001942C4">
            <w:pPr>
              <w:jc w:val="both"/>
              <w:rPr>
                <w:rFonts w:cs="Arial"/>
                <w:szCs w:val="24"/>
              </w:rPr>
            </w:pPr>
            <w:r w:rsidRPr="001942C4">
              <w:rPr>
                <w:rFonts w:cs="Arial"/>
              </w:rPr>
              <w:t xml:space="preserve">(e) </w:t>
            </w:r>
            <w:r w:rsidR="00987879" w:rsidRPr="001942C4">
              <w:rPr>
                <w:rFonts w:cs="Arial"/>
              </w:rPr>
              <w:t>Agree</w:t>
            </w:r>
            <w:r w:rsidR="00035F59" w:rsidRPr="001942C4">
              <w:rPr>
                <w:rFonts w:cs="Arial"/>
              </w:rPr>
              <w:t>s</w:t>
            </w:r>
            <w:r w:rsidR="00987879" w:rsidRPr="001942C4">
              <w:rPr>
                <w:rFonts w:cs="Arial"/>
              </w:rPr>
              <w:t xml:space="preserve"> that </w:t>
            </w:r>
            <w:r w:rsidR="006214A4" w:rsidRPr="001942C4">
              <w:rPr>
                <w:rFonts w:cs="Arial"/>
              </w:rPr>
              <w:t>the</w:t>
            </w:r>
            <w:r w:rsidR="00987879" w:rsidRPr="001942C4">
              <w:rPr>
                <w:rFonts w:cs="Arial"/>
              </w:rPr>
              <w:t xml:space="preserve"> Council's Chief Finance Officer (section 151 officer),</w:t>
            </w:r>
          </w:p>
          <w:p w14:paraId="51E39C9D" w14:textId="0921E931" w:rsidR="00B449E0" w:rsidRPr="00124F2C" w:rsidRDefault="00987879" w:rsidP="00124F2C">
            <w:pPr>
              <w:jc w:val="both"/>
              <w:rPr>
                <w:rFonts w:cs="Arial"/>
                <w:szCs w:val="24"/>
              </w:rPr>
            </w:pPr>
            <w:r w:rsidRPr="00124F2C">
              <w:rPr>
                <w:rFonts w:cs="Arial"/>
              </w:rPr>
              <w:t>following</w:t>
            </w:r>
            <w:r w:rsidR="006214A4" w:rsidRPr="00124F2C">
              <w:rPr>
                <w:rFonts w:cs="Arial"/>
              </w:rPr>
              <w:t xml:space="preserve"> </w:t>
            </w:r>
            <w:r w:rsidRPr="00124F2C">
              <w:rPr>
                <w:rFonts w:cs="Arial"/>
              </w:rPr>
              <w:t xml:space="preserve">consultation with the Portfolio Holder for Finance and </w:t>
            </w:r>
            <w:r w:rsidR="00C10883">
              <w:rPr>
                <w:rFonts w:cs="Arial"/>
              </w:rPr>
              <w:t xml:space="preserve">Human </w:t>
            </w:r>
            <w:r w:rsidRPr="00124F2C">
              <w:rPr>
                <w:rFonts w:cs="Arial"/>
              </w:rPr>
              <w:t>Resources,</w:t>
            </w:r>
            <w:r w:rsidR="002A0013" w:rsidRPr="00124F2C">
              <w:rPr>
                <w:rFonts w:cs="Arial"/>
              </w:rPr>
              <w:t xml:space="preserve"> be authorised </w:t>
            </w:r>
            <w:r w:rsidR="00E83DED" w:rsidRPr="00124F2C">
              <w:rPr>
                <w:rFonts w:cs="Arial"/>
              </w:rPr>
              <w:t xml:space="preserve">to implement </w:t>
            </w:r>
            <w:r w:rsidR="00CF3BDA" w:rsidRPr="00124F2C">
              <w:rPr>
                <w:rFonts w:cs="Arial"/>
              </w:rPr>
              <w:t xml:space="preserve">the </w:t>
            </w:r>
            <w:r w:rsidR="00E83DED" w:rsidRPr="00124F2C">
              <w:rPr>
                <w:rFonts w:cs="Arial"/>
              </w:rPr>
              <w:t>announced Autumn Budget business r</w:t>
            </w:r>
            <w:r w:rsidR="008351F3" w:rsidRPr="00124F2C">
              <w:rPr>
                <w:rFonts w:cs="Arial"/>
              </w:rPr>
              <w:t>a</w:t>
            </w:r>
            <w:r w:rsidR="00E83DED" w:rsidRPr="00124F2C">
              <w:rPr>
                <w:rFonts w:cs="Arial"/>
              </w:rPr>
              <w:t>tes measures</w:t>
            </w:r>
            <w:r w:rsidR="008351F3" w:rsidRPr="00124F2C">
              <w:rPr>
                <w:rFonts w:cs="Arial"/>
              </w:rPr>
              <w:t xml:space="preserve">, namely </w:t>
            </w:r>
            <w:r w:rsidR="008351F3" w:rsidRPr="005D5DB8">
              <w:rPr>
                <w:rFonts w:cs="Arial"/>
              </w:rPr>
              <w:t>a new retail relief for eligible</w:t>
            </w:r>
            <w:r w:rsidR="00085670" w:rsidRPr="005D5DB8">
              <w:rPr>
                <w:rFonts w:cs="Arial"/>
              </w:rPr>
              <w:t xml:space="preserve"> r</w:t>
            </w:r>
            <w:r w:rsidR="00A31625">
              <w:rPr>
                <w:rFonts w:cs="Arial"/>
              </w:rPr>
              <w:t>e</w:t>
            </w:r>
            <w:r w:rsidR="00085670" w:rsidRPr="005D5DB8">
              <w:rPr>
                <w:rFonts w:cs="Arial"/>
              </w:rPr>
              <w:t>tail, hospitality and leisure properties</w:t>
            </w:r>
            <w:r w:rsidR="001B1DFE" w:rsidRPr="005D5DB8">
              <w:rPr>
                <w:rFonts w:cs="Arial"/>
              </w:rPr>
              <w:t xml:space="preserve">, </w:t>
            </w:r>
            <w:r w:rsidR="000C24A1" w:rsidRPr="005D5DB8">
              <w:rPr>
                <w:rFonts w:cs="Arial"/>
              </w:rPr>
              <w:t xml:space="preserve">a </w:t>
            </w:r>
            <w:r w:rsidR="000C24A1" w:rsidRPr="005D5DB8">
              <w:rPr>
                <w:rFonts w:cs="Arial"/>
                <w:szCs w:val="24"/>
              </w:rPr>
              <w:t xml:space="preserve">Transitional Relief (TR) scheme for small and medium </w:t>
            </w:r>
            <w:r w:rsidR="003D5EB5">
              <w:rPr>
                <w:rFonts w:cs="Arial"/>
                <w:szCs w:val="24"/>
              </w:rPr>
              <w:t xml:space="preserve">sized </w:t>
            </w:r>
            <w:r w:rsidR="000C24A1" w:rsidRPr="005D5DB8">
              <w:rPr>
                <w:rFonts w:cs="Arial"/>
                <w:szCs w:val="24"/>
              </w:rPr>
              <w:t xml:space="preserve">businesses, </w:t>
            </w:r>
            <w:r w:rsidR="00C10883" w:rsidRPr="005D5DB8">
              <w:rPr>
                <w:rFonts w:cs="Arial"/>
              </w:rPr>
              <w:t>and a</w:t>
            </w:r>
            <w:r w:rsidR="001B1DFE" w:rsidRPr="005D5DB8">
              <w:rPr>
                <w:rFonts w:cs="Arial"/>
              </w:rPr>
              <w:t xml:space="preserve"> Supporting Small Business </w:t>
            </w:r>
            <w:r w:rsidR="00C10883" w:rsidRPr="005D5DB8">
              <w:rPr>
                <w:rFonts w:cs="Arial"/>
              </w:rPr>
              <w:t>scheme (</w:t>
            </w:r>
            <w:r w:rsidR="001B1DFE" w:rsidRPr="005D5DB8">
              <w:rPr>
                <w:rFonts w:cs="Arial"/>
              </w:rPr>
              <w:t>SSBS)</w:t>
            </w:r>
            <w:r w:rsidR="00C108A7" w:rsidRPr="005D5DB8">
              <w:rPr>
                <w:rFonts w:cs="Arial"/>
              </w:rPr>
              <w:t xml:space="preserve">, </w:t>
            </w:r>
            <w:r w:rsidR="001B1DFE" w:rsidRPr="005D5DB8">
              <w:rPr>
                <w:rFonts w:cs="Arial"/>
              </w:rPr>
              <w:t xml:space="preserve"> </w:t>
            </w:r>
            <w:r w:rsidR="0032358F" w:rsidRPr="005D5DB8">
              <w:rPr>
                <w:rFonts w:cs="Arial"/>
              </w:rPr>
              <w:t>once the detail is known</w:t>
            </w:r>
            <w:r w:rsidR="00B65272" w:rsidRPr="005D5DB8">
              <w:rPr>
                <w:rFonts w:cs="Arial"/>
              </w:rPr>
              <w:t>, for the financial year 202</w:t>
            </w:r>
            <w:r w:rsidR="006205F1">
              <w:rPr>
                <w:rFonts w:cs="Arial"/>
              </w:rPr>
              <w:t>3</w:t>
            </w:r>
            <w:r w:rsidR="00B65272" w:rsidRPr="005D5DB8">
              <w:rPr>
                <w:rFonts w:cs="Arial"/>
              </w:rPr>
              <w:t>/2</w:t>
            </w:r>
            <w:r w:rsidR="006205F1">
              <w:rPr>
                <w:rFonts w:cs="Arial"/>
              </w:rPr>
              <w:t>4</w:t>
            </w:r>
            <w:r w:rsidR="00511E12">
              <w:rPr>
                <w:rFonts w:cs="Arial"/>
              </w:rPr>
              <w:t xml:space="preserve"> and beyond</w:t>
            </w:r>
            <w:r w:rsidR="00834760" w:rsidRPr="005D5DB8">
              <w:rPr>
                <w:rFonts w:cs="Arial"/>
              </w:rPr>
              <w:t>.</w:t>
            </w:r>
            <w:r w:rsidR="00C23EA8" w:rsidRPr="005D5DB8">
              <w:rPr>
                <w:rFonts w:cs="Arial"/>
              </w:rPr>
              <w:t xml:space="preserve"> This </w:t>
            </w:r>
            <w:r w:rsidR="00C23EA8" w:rsidRPr="00124F2C">
              <w:rPr>
                <w:rFonts w:cs="Arial"/>
              </w:rPr>
              <w:t xml:space="preserve">will also involve the Director of Finance </w:t>
            </w:r>
            <w:r w:rsidR="00C23EA8">
              <w:t>exercis</w:t>
            </w:r>
            <w:r w:rsidR="005A1F1D">
              <w:t>ing</w:t>
            </w:r>
            <w:r w:rsidR="00C23EA8">
              <w:t xml:space="preserve"> discretion under s47 of the Local Government Finance Act 1988, (as amended) in order to </w:t>
            </w:r>
            <w:r w:rsidR="00D162D7">
              <w:t xml:space="preserve">introduce / </w:t>
            </w:r>
            <w:r w:rsidR="00C23EA8">
              <w:t>operate the scheme.</w:t>
            </w:r>
          </w:p>
          <w:p w14:paraId="3A3A8DB7" w14:textId="675A9D07" w:rsidR="00A1344D" w:rsidRDefault="00A1344D" w:rsidP="00A1344D">
            <w:pPr>
              <w:pStyle w:val="ListParagraph"/>
              <w:rPr>
                <w:rFonts w:cs="Arial"/>
                <w:szCs w:val="24"/>
              </w:rPr>
            </w:pPr>
          </w:p>
          <w:p w14:paraId="4A673624" w14:textId="453AB7CE" w:rsidR="00333FAA" w:rsidRDefault="00A93C4F" w:rsidP="00C10883">
            <w:pPr>
              <w:outlineLvl w:val="1"/>
              <w:rPr>
                <w:rFonts w:cs="Arial"/>
              </w:rPr>
            </w:pPr>
            <w:r w:rsidRPr="00997EFC">
              <w:rPr>
                <w:rFonts w:cs="Arial"/>
                <w:b/>
                <w:bCs/>
                <w:sz w:val="28"/>
                <w:szCs w:val="32"/>
              </w:rPr>
              <w:t>Reason</w:t>
            </w:r>
            <w:r w:rsidR="00C10883">
              <w:rPr>
                <w:rFonts w:cs="Arial"/>
                <w:b/>
                <w:bCs/>
                <w:sz w:val="28"/>
                <w:szCs w:val="32"/>
              </w:rPr>
              <w:t xml:space="preserve"> (for recommendations)</w:t>
            </w:r>
            <w:r w:rsidRPr="00997EFC">
              <w:rPr>
                <w:rFonts w:cs="Arial"/>
                <w:b/>
                <w:bCs/>
                <w:sz w:val="28"/>
                <w:szCs w:val="32"/>
              </w:rPr>
              <w:t xml:space="preserve">:  </w:t>
            </w:r>
            <w:r w:rsidRPr="00997EFC">
              <w:t>To fulfil the Council’s statutory obligation to provide estimates and calculations in relation to NDR for 20</w:t>
            </w:r>
            <w:r>
              <w:t>2</w:t>
            </w:r>
            <w:r w:rsidR="001831AE">
              <w:t>3</w:t>
            </w:r>
            <w:r w:rsidRPr="00997EFC">
              <w:t>-20</w:t>
            </w:r>
            <w:r>
              <w:t>2</w:t>
            </w:r>
            <w:r w:rsidR="001831AE">
              <w:t>4</w:t>
            </w:r>
            <w:r w:rsidRPr="00997EFC">
              <w:t>.</w:t>
            </w:r>
          </w:p>
        </w:tc>
      </w:tr>
    </w:tbl>
    <w:p w14:paraId="458CC1AA" w14:textId="77777777" w:rsidR="0036201C" w:rsidRPr="0036201C" w:rsidRDefault="0036201C" w:rsidP="0036201C"/>
    <w:p w14:paraId="43EE7F82" w14:textId="77777777" w:rsidR="00A93C4F" w:rsidRDefault="00A93C4F" w:rsidP="00A93C4F">
      <w:pPr>
        <w:pStyle w:val="Heading1"/>
        <w:rPr>
          <w:color w:val="000000"/>
        </w:rPr>
      </w:pPr>
      <w:r w:rsidRPr="0016289B">
        <w:rPr>
          <w:color w:val="000000"/>
        </w:rPr>
        <w:t>Section 2 – Report</w:t>
      </w:r>
    </w:p>
    <w:p w14:paraId="2F9E7585" w14:textId="77777777" w:rsidR="00A93C4F" w:rsidRPr="00015C49" w:rsidRDefault="00A93C4F" w:rsidP="00A93C4F"/>
    <w:p w14:paraId="6D0F3A3E" w14:textId="78C462F6" w:rsidR="00A93C4F" w:rsidRDefault="00A93C4F" w:rsidP="004C6F3C">
      <w:pPr>
        <w:jc w:val="both"/>
        <w:rPr>
          <w:rFonts w:cs="Arial"/>
          <w:b/>
          <w:sz w:val="28"/>
          <w:szCs w:val="28"/>
        </w:rPr>
      </w:pPr>
      <w:r w:rsidRPr="00015C49">
        <w:rPr>
          <w:rFonts w:cs="Arial"/>
          <w:b/>
          <w:sz w:val="28"/>
          <w:szCs w:val="28"/>
        </w:rPr>
        <w:t xml:space="preserve">Introduction </w:t>
      </w:r>
    </w:p>
    <w:p w14:paraId="4C4E73FC" w14:textId="77777777" w:rsidR="004C6F3C" w:rsidRDefault="004C6F3C" w:rsidP="00A93C4F">
      <w:pPr>
        <w:ind w:left="360"/>
        <w:jc w:val="both"/>
        <w:rPr>
          <w:rFonts w:cs="Arial"/>
          <w:b/>
          <w:sz w:val="28"/>
          <w:szCs w:val="28"/>
        </w:rPr>
      </w:pPr>
    </w:p>
    <w:p w14:paraId="7C3A4EF0" w14:textId="7850DDDE" w:rsidR="00A93C4F" w:rsidRDefault="00A93C4F" w:rsidP="00A93C4F">
      <w:pPr>
        <w:jc w:val="both"/>
      </w:pPr>
      <w:r w:rsidRPr="00997EFC">
        <w:t>2.</w:t>
      </w:r>
      <w:r>
        <w:t>1</w:t>
      </w:r>
      <w:r>
        <w:tab/>
      </w:r>
      <w:r w:rsidRPr="00997EFC">
        <w:t xml:space="preserve">The Local Government Finance Act 2012 introduced the Business Rate </w:t>
      </w:r>
      <w:r w:rsidRPr="00997EFC">
        <w:tab/>
        <w:t xml:space="preserve">Retention (BRR) scheme from 01 April 2013. </w:t>
      </w:r>
    </w:p>
    <w:p w14:paraId="515C927F" w14:textId="676CEDEC" w:rsidR="00B6199E" w:rsidRDefault="00B6199E" w:rsidP="00A93C4F">
      <w:pPr>
        <w:jc w:val="both"/>
      </w:pPr>
    </w:p>
    <w:p w14:paraId="60E69729" w14:textId="19E3CAE5" w:rsidR="00A93C4F" w:rsidRPr="00997EFC" w:rsidRDefault="00A93C4F" w:rsidP="00A93C4F">
      <w:pPr>
        <w:ind w:left="567" w:hanging="567"/>
        <w:jc w:val="both"/>
        <w:rPr>
          <w:rFonts w:cs="Arial"/>
        </w:rPr>
      </w:pPr>
      <w:r w:rsidRPr="00997EFC">
        <w:t>2.</w:t>
      </w:r>
      <w:r w:rsidR="000C5351">
        <w:t>2</w:t>
      </w:r>
      <w:r w:rsidRPr="00997EFC">
        <w:tab/>
        <w:t>The</w:t>
      </w:r>
      <w:r w:rsidRPr="00997EFC">
        <w:rPr>
          <w:rFonts w:cs="Arial"/>
        </w:rPr>
        <w:t xml:space="preserve"> statutory framework requires a billing authority, before the beginning of a financial year, to forecast the amount of business rates that it will collect during the course of the year and, from this, to make a number of allowable deductions in order to arrive at a figure for its non-domestic rating income. The calculation that Harrow makes</w:t>
      </w:r>
      <w:r>
        <w:rPr>
          <w:rFonts w:cs="Arial"/>
        </w:rPr>
        <w:t xml:space="preserve"> </w:t>
      </w:r>
      <w:r w:rsidRPr="00997EFC">
        <w:rPr>
          <w:rFonts w:cs="Arial"/>
        </w:rPr>
        <w:t xml:space="preserve">before the start of the financial year determines how much Harrow must pay to central government and its major precepting authorities during the course of the year.  </w:t>
      </w:r>
    </w:p>
    <w:p w14:paraId="7770A1DA" w14:textId="77777777" w:rsidR="00A642B1" w:rsidRDefault="00A642B1" w:rsidP="00A93C4F">
      <w:pPr>
        <w:ind w:left="567" w:hanging="567"/>
        <w:jc w:val="both"/>
        <w:rPr>
          <w:rFonts w:cs="Arial"/>
        </w:rPr>
      </w:pPr>
    </w:p>
    <w:p w14:paraId="41A797ED" w14:textId="21155E19" w:rsidR="00BF73B9" w:rsidRDefault="00A93C4F" w:rsidP="00BF73B9">
      <w:pPr>
        <w:ind w:left="567" w:hanging="567"/>
        <w:jc w:val="both"/>
        <w:outlineLvl w:val="1"/>
        <w:rPr>
          <w:rFonts w:cs="Arial"/>
          <w:b/>
          <w:bCs/>
          <w:sz w:val="28"/>
          <w:szCs w:val="28"/>
        </w:rPr>
      </w:pPr>
      <w:r w:rsidRPr="00997EFC">
        <w:rPr>
          <w:rFonts w:cs="Arial"/>
          <w:b/>
          <w:bCs/>
          <w:sz w:val="28"/>
          <w:szCs w:val="28"/>
        </w:rPr>
        <w:tab/>
        <w:t xml:space="preserve">Background </w:t>
      </w:r>
    </w:p>
    <w:p w14:paraId="4BC799C2" w14:textId="77777777" w:rsidR="004C6F3C" w:rsidRDefault="004C6F3C" w:rsidP="00BF73B9">
      <w:pPr>
        <w:ind w:left="567" w:hanging="567"/>
        <w:jc w:val="both"/>
        <w:outlineLvl w:val="1"/>
        <w:rPr>
          <w:rFonts w:cs="Arial"/>
          <w:b/>
          <w:bCs/>
          <w:sz w:val="28"/>
          <w:szCs w:val="28"/>
        </w:rPr>
      </w:pPr>
    </w:p>
    <w:p w14:paraId="557C356A" w14:textId="3FB2226F" w:rsidR="00A93C4F" w:rsidRPr="00997EFC" w:rsidRDefault="00A93C4F" w:rsidP="00BF73B9">
      <w:pPr>
        <w:ind w:left="567" w:hanging="567"/>
        <w:jc w:val="both"/>
        <w:outlineLvl w:val="1"/>
        <w:rPr>
          <w:rFonts w:cs="Arial"/>
          <w:color w:val="000000"/>
          <w:szCs w:val="24"/>
          <w:lang w:val="en" w:eastAsia="en-GB"/>
        </w:rPr>
      </w:pPr>
      <w:r>
        <w:rPr>
          <w:rFonts w:cs="Arial"/>
          <w:color w:val="000000"/>
          <w:szCs w:val="24"/>
          <w:lang w:val="en" w:eastAsia="en-GB"/>
        </w:rPr>
        <w:t>2.</w:t>
      </w:r>
      <w:r w:rsidR="00722268">
        <w:rPr>
          <w:rFonts w:cs="Arial"/>
          <w:color w:val="000000"/>
          <w:szCs w:val="24"/>
          <w:lang w:val="en" w:eastAsia="en-GB"/>
        </w:rPr>
        <w:t>3</w:t>
      </w:r>
      <w:r w:rsidRPr="00997EFC">
        <w:rPr>
          <w:rFonts w:cs="Arial"/>
          <w:color w:val="000000"/>
          <w:szCs w:val="24"/>
          <w:lang w:val="en" w:eastAsia="en-GB"/>
        </w:rPr>
        <w:tab/>
        <w:t xml:space="preserve">Under the </w:t>
      </w:r>
      <w:r w:rsidRPr="00997EFC">
        <w:rPr>
          <w:rFonts w:cs="Arial"/>
        </w:rPr>
        <w:t xml:space="preserve">Local Government Finance Act 1988, as amended by the </w:t>
      </w:r>
      <w:r w:rsidRPr="00997EFC">
        <w:rPr>
          <w:rFonts w:cs="Arial"/>
          <w:color w:val="000000"/>
          <w:szCs w:val="24"/>
          <w:lang w:val="en" w:eastAsia="en-GB"/>
        </w:rPr>
        <w:t>L</w:t>
      </w:r>
      <w:r>
        <w:rPr>
          <w:rFonts w:cs="Arial"/>
          <w:color w:val="000000"/>
          <w:szCs w:val="24"/>
          <w:lang w:val="en" w:eastAsia="en-GB"/>
        </w:rPr>
        <w:t xml:space="preserve">ocal </w:t>
      </w:r>
      <w:r w:rsidRPr="00997EFC">
        <w:rPr>
          <w:rFonts w:cs="Arial"/>
          <w:color w:val="000000"/>
          <w:szCs w:val="24"/>
          <w:lang w:val="en" w:eastAsia="en-GB"/>
        </w:rPr>
        <w:t>G</w:t>
      </w:r>
      <w:r>
        <w:rPr>
          <w:rFonts w:cs="Arial"/>
          <w:color w:val="000000"/>
          <w:szCs w:val="24"/>
          <w:lang w:val="en" w:eastAsia="en-GB"/>
        </w:rPr>
        <w:t xml:space="preserve">overnment </w:t>
      </w:r>
      <w:r w:rsidRPr="00997EFC">
        <w:rPr>
          <w:rFonts w:cs="Arial"/>
          <w:color w:val="000000"/>
          <w:szCs w:val="24"/>
          <w:lang w:val="en" w:eastAsia="en-GB"/>
        </w:rPr>
        <w:t>F</w:t>
      </w:r>
      <w:r>
        <w:rPr>
          <w:rFonts w:cs="Arial"/>
          <w:color w:val="000000"/>
          <w:szCs w:val="24"/>
          <w:lang w:val="en" w:eastAsia="en-GB"/>
        </w:rPr>
        <w:t xml:space="preserve">inance </w:t>
      </w:r>
      <w:r w:rsidRPr="00997EFC">
        <w:rPr>
          <w:rFonts w:cs="Arial"/>
          <w:color w:val="000000"/>
          <w:szCs w:val="24"/>
          <w:lang w:val="en" w:eastAsia="en-GB"/>
        </w:rPr>
        <w:t>A</w:t>
      </w:r>
      <w:r>
        <w:rPr>
          <w:rFonts w:cs="Arial"/>
          <w:color w:val="000000"/>
          <w:szCs w:val="24"/>
          <w:lang w:val="en" w:eastAsia="en-GB"/>
        </w:rPr>
        <w:t>ct</w:t>
      </w:r>
      <w:r w:rsidRPr="00997EFC">
        <w:rPr>
          <w:rFonts w:cs="Arial"/>
          <w:color w:val="000000"/>
          <w:szCs w:val="24"/>
          <w:lang w:val="en" w:eastAsia="en-GB"/>
        </w:rPr>
        <w:t xml:space="preserve"> 2012, regulations set out detailed formulae </w:t>
      </w:r>
      <w:r w:rsidR="0080231D" w:rsidRPr="00997EFC">
        <w:rPr>
          <w:rFonts w:cs="Arial"/>
          <w:color w:val="000000"/>
          <w:szCs w:val="24"/>
          <w:lang w:val="en" w:eastAsia="en-GB"/>
        </w:rPr>
        <w:t>for the</w:t>
      </w:r>
      <w:r w:rsidRPr="00997EFC">
        <w:rPr>
          <w:rFonts w:cs="Arial"/>
          <w:color w:val="000000"/>
          <w:szCs w:val="24"/>
          <w:lang w:val="en" w:eastAsia="en-GB"/>
        </w:rPr>
        <w:t xml:space="preserve"> calculation of an annual estimated Business Rates. The starting point is the amount payable by businesses to the authority under s.43 and 45 of the 1988 Act in the preceding year.  An estimate is then calculated taking into account adjustments for RPI, transitional protection payments, collection costs and disregarded amounts. At the end of each year the authority must arrange for calculations and amounts to be certified in accordance with arrangements set out by the Secretary of State. </w:t>
      </w:r>
    </w:p>
    <w:p w14:paraId="191A06F1" w14:textId="77777777" w:rsidR="00A93C4F" w:rsidRPr="00997EFC" w:rsidRDefault="00A93C4F" w:rsidP="00A93C4F">
      <w:pPr>
        <w:ind w:left="561" w:hanging="561"/>
        <w:jc w:val="both"/>
        <w:rPr>
          <w:rFonts w:cs="Arial"/>
          <w:color w:val="000000"/>
          <w:szCs w:val="24"/>
          <w:lang w:val="en" w:eastAsia="en-GB"/>
        </w:rPr>
      </w:pPr>
    </w:p>
    <w:p w14:paraId="16890074" w14:textId="18C0EF83" w:rsidR="00A93C4F" w:rsidRPr="00BF0DB1" w:rsidRDefault="00A93C4F" w:rsidP="00A93C4F">
      <w:pPr>
        <w:ind w:left="561" w:hanging="561"/>
        <w:jc w:val="both"/>
        <w:rPr>
          <w:rFonts w:cs="Arial"/>
          <w:szCs w:val="24"/>
          <w:lang w:val="en" w:eastAsia="en-GB"/>
        </w:rPr>
      </w:pPr>
      <w:r>
        <w:rPr>
          <w:rFonts w:cs="Arial"/>
          <w:color w:val="000000"/>
          <w:szCs w:val="24"/>
          <w:lang w:val="en" w:eastAsia="en-GB"/>
        </w:rPr>
        <w:t>2.</w:t>
      </w:r>
      <w:r w:rsidR="009E757D">
        <w:rPr>
          <w:rFonts w:cs="Arial"/>
          <w:color w:val="000000"/>
          <w:szCs w:val="24"/>
          <w:lang w:val="en" w:eastAsia="en-GB"/>
        </w:rPr>
        <w:t>4</w:t>
      </w:r>
      <w:r w:rsidRPr="00BF0DB1">
        <w:rPr>
          <w:rFonts w:cs="Arial"/>
          <w:szCs w:val="24"/>
          <w:lang w:val="en" w:eastAsia="en-GB"/>
        </w:rPr>
        <w:tab/>
        <w:t>Income raised</w:t>
      </w:r>
      <w:r>
        <w:rPr>
          <w:rFonts w:cs="Arial"/>
          <w:szCs w:val="24"/>
          <w:lang w:val="en" w:eastAsia="en-GB"/>
        </w:rPr>
        <w:t xml:space="preserve"> will, for the financial year 202</w:t>
      </w:r>
      <w:r w:rsidR="00176F33">
        <w:rPr>
          <w:rFonts w:cs="Arial"/>
          <w:szCs w:val="24"/>
          <w:lang w:val="en" w:eastAsia="en-GB"/>
        </w:rPr>
        <w:t>3</w:t>
      </w:r>
      <w:r>
        <w:rPr>
          <w:rFonts w:cs="Arial"/>
          <w:szCs w:val="24"/>
          <w:lang w:val="en" w:eastAsia="en-GB"/>
        </w:rPr>
        <w:t>/2</w:t>
      </w:r>
      <w:r w:rsidR="00176F33">
        <w:rPr>
          <w:rFonts w:cs="Arial"/>
          <w:szCs w:val="24"/>
          <w:lang w:val="en" w:eastAsia="en-GB"/>
        </w:rPr>
        <w:t>4</w:t>
      </w:r>
      <w:r>
        <w:rPr>
          <w:rFonts w:cs="Arial"/>
          <w:szCs w:val="24"/>
          <w:lang w:val="en" w:eastAsia="en-GB"/>
        </w:rPr>
        <w:t xml:space="preserve">, be </w:t>
      </w:r>
      <w:r w:rsidRPr="00BF0DB1">
        <w:rPr>
          <w:rFonts w:cs="Arial"/>
          <w:szCs w:val="24"/>
          <w:lang w:val="en" w:eastAsia="en-GB"/>
        </w:rPr>
        <w:t xml:space="preserve">allocated as follows; Harrow retains </w:t>
      </w:r>
      <w:r>
        <w:rPr>
          <w:rFonts w:cs="Arial"/>
          <w:szCs w:val="24"/>
          <w:lang w:val="en" w:eastAsia="en-GB"/>
        </w:rPr>
        <w:t>30</w:t>
      </w:r>
      <w:r w:rsidRPr="00BF0DB1">
        <w:rPr>
          <w:rFonts w:cs="Arial"/>
          <w:szCs w:val="24"/>
          <w:lang w:val="en" w:eastAsia="en-GB"/>
        </w:rPr>
        <w:t xml:space="preserve">%, the GLA retains </w:t>
      </w:r>
      <w:r>
        <w:rPr>
          <w:rFonts w:cs="Arial"/>
          <w:szCs w:val="24"/>
          <w:lang w:val="en" w:eastAsia="en-GB"/>
        </w:rPr>
        <w:t>37</w:t>
      </w:r>
      <w:r w:rsidRPr="00BF0DB1">
        <w:rPr>
          <w:rFonts w:cs="Arial"/>
          <w:szCs w:val="24"/>
          <w:lang w:val="en" w:eastAsia="en-GB"/>
        </w:rPr>
        <w:t>%, and</w:t>
      </w:r>
      <w:r w:rsidR="0026024D">
        <w:rPr>
          <w:rFonts w:cs="Arial"/>
          <w:szCs w:val="24"/>
          <w:lang w:val="en" w:eastAsia="en-GB"/>
        </w:rPr>
        <w:t xml:space="preserve"> the </w:t>
      </w:r>
      <w:r w:rsidR="005B493C">
        <w:t>Department for Levelling Up, Housing &amp; Communities (DLUHC)</w:t>
      </w:r>
      <w:r w:rsidRPr="00BF0DB1">
        <w:rPr>
          <w:rFonts w:cs="Arial"/>
          <w:szCs w:val="24"/>
          <w:lang w:val="en" w:eastAsia="en-GB"/>
        </w:rPr>
        <w:t xml:space="preserve"> retains the balance, </w:t>
      </w:r>
      <w:r>
        <w:rPr>
          <w:rFonts w:cs="Arial"/>
          <w:szCs w:val="24"/>
          <w:lang w:val="en" w:eastAsia="en-GB"/>
        </w:rPr>
        <w:t>33</w:t>
      </w:r>
      <w:r w:rsidRPr="00BF0DB1">
        <w:rPr>
          <w:rFonts w:cs="Arial"/>
          <w:szCs w:val="24"/>
          <w:lang w:val="en" w:eastAsia="en-GB"/>
        </w:rPr>
        <w:t>%.</w:t>
      </w:r>
    </w:p>
    <w:p w14:paraId="20E31EC3" w14:textId="31DBAC1D" w:rsidR="00A93C4F" w:rsidRDefault="00A93C4F" w:rsidP="00A93C4F">
      <w:pPr>
        <w:ind w:left="561" w:hanging="561"/>
        <w:jc w:val="both"/>
        <w:rPr>
          <w:rFonts w:cs="Arial"/>
          <w:color w:val="000000"/>
          <w:szCs w:val="24"/>
          <w:lang w:val="en" w:eastAsia="en-GB"/>
        </w:rPr>
      </w:pPr>
    </w:p>
    <w:p w14:paraId="75A5BFFA" w14:textId="620613C0" w:rsidR="001B62BD" w:rsidRDefault="001B62BD" w:rsidP="001B62BD">
      <w:pPr>
        <w:ind w:left="561" w:hanging="561"/>
        <w:jc w:val="both"/>
        <w:rPr>
          <w:rFonts w:cs="Arial"/>
          <w:szCs w:val="24"/>
          <w:lang w:eastAsia="en-GB"/>
        </w:rPr>
      </w:pPr>
      <w:r>
        <w:rPr>
          <w:rFonts w:cs="Arial"/>
        </w:rPr>
        <w:lastRenderedPageBreak/>
        <w:tab/>
      </w:r>
      <w:r w:rsidRPr="00997EFC">
        <w:rPr>
          <w:rFonts w:cs="Arial"/>
        </w:rPr>
        <w:t>Throughout the year, the authority retains a fixed amount and pays a fixed amount to preceptors. A</w:t>
      </w:r>
      <w:r w:rsidRPr="00997EFC">
        <w:rPr>
          <w:rFonts w:cs="Arial"/>
          <w:szCs w:val="24"/>
          <w:lang w:eastAsia="en-GB"/>
        </w:rPr>
        <w:t xml:space="preserve">ny difference between forecast amounts and final outturns will result in a surplus, or deficit on the billing authority’s Collection Fund. Any such surplus or deficit is shared between the parties to the Pool and has to be taken into account as part of the future year’s budget process. </w:t>
      </w:r>
    </w:p>
    <w:p w14:paraId="1AA9F4A0" w14:textId="77777777" w:rsidR="00285533" w:rsidRDefault="00285533" w:rsidP="001B62BD">
      <w:pPr>
        <w:tabs>
          <w:tab w:val="left" w:pos="-2520"/>
        </w:tabs>
        <w:spacing w:after="120"/>
        <w:ind w:left="360"/>
        <w:jc w:val="both"/>
        <w:outlineLvl w:val="0"/>
        <w:rPr>
          <w:rFonts w:cs="Arial"/>
          <w:szCs w:val="24"/>
          <w:lang w:eastAsia="en-GB"/>
        </w:rPr>
      </w:pPr>
      <w:bookmarkStart w:id="0" w:name="_Toc313866137"/>
      <w:bookmarkStart w:id="1" w:name="_Toc337200288"/>
    </w:p>
    <w:p w14:paraId="387AC69F" w14:textId="79532D45" w:rsidR="001B62BD" w:rsidRDefault="001B62BD" w:rsidP="001B62BD">
      <w:pPr>
        <w:tabs>
          <w:tab w:val="left" w:pos="-2520"/>
        </w:tabs>
        <w:spacing w:after="120"/>
        <w:ind w:left="360"/>
        <w:jc w:val="both"/>
        <w:outlineLvl w:val="0"/>
        <w:rPr>
          <w:rFonts w:cs="Arial"/>
          <w:b/>
          <w:bCs/>
          <w:sz w:val="28"/>
          <w:szCs w:val="28"/>
        </w:rPr>
      </w:pPr>
      <w:r w:rsidRPr="00997EFC">
        <w:rPr>
          <w:rFonts w:cs="Arial"/>
          <w:b/>
          <w:bCs/>
          <w:sz w:val="28"/>
          <w:szCs w:val="28"/>
        </w:rPr>
        <w:t xml:space="preserve">Harrow’s </w:t>
      </w:r>
      <w:r>
        <w:rPr>
          <w:rFonts w:cs="Arial"/>
          <w:b/>
          <w:bCs/>
          <w:sz w:val="28"/>
          <w:szCs w:val="28"/>
        </w:rPr>
        <w:t>National Non-Domestic Rates (</w:t>
      </w:r>
      <w:r w:rsidRPr="00997EFC">
        <w:rPr>
          <w:rFonts w:cs="Arial"/>
          <w:b/>
          <w:bCs/>
          <w:sz w:val="28"/>
          <w:szCs w:val="28"/>
        </w:rPr>
        <w:t>NDR</w:t>
      </w:r>
      <w:r>
        <w:rPr>
          <w:rFonts w:cs="Arial"/>
          <w:b/>
          <w:bCs/>
          <w:sz w:val="28"/>
          <w:szCs w:val="28"/>
        </w:rPr>
        <w:t xml:space="preserve">) retained amount for </w:t>
      </w:r>
      <w:r w:rsidRPr="00997EFC">
        <w:rPr>
          <w:rFonts w:cs="Arial"/>
          <w:b/>
          <w:bCs/>
          <w:sz w:val="28"/>
          <w:szCs w:val="28"/>
        </w:rPr>
        <w:t>20</w:t>
      </w:r>
      <w:r>
        <w:rPr>
          <w:rFonts w:cs="Arial"/>
          <w:b/>
          <w:bCs/>
          <w:sz w:val="28"/>
          <w:szCs w:val="28"/>
        </w:rPr>
        <w:t>23</w:t>
      </w:r>
      <w:r w:rsidRPr="00997EFC">
        <w:rPr>
          <w:rFonts w:cs="Arial"/>
          <w:b/>
          <w:bCs/>
          <w:sz w:val="28"/>
          <w:szCs w:val="28"/>
        </w:rPr>
        <w:t>/</w:t>
      </w:r>
      <w:r>
        <w:rPr>
          <w:rFonts w:cs="Arial"/>
          <w:b/>
          <w:bCs/>
          <w:sz w:val="28"/>
          <w:szCs w:val="28"/>
        </w:rPr>
        <w:t>24</w:t>
      </w:r>
      <w:bookmarkEnd w:id="0"/>
      <w:bookmarkEnd w:id="1"/>
    </w:p>
    <w:p w14:paraId="592280ED" w14:textId="2CE13F09" w:rsidR="001B62BD" w:rsidRPr="00997EFC" w:rsidRDefault="001B62BD" w:rsidP="001B62BD">
      <w:pPr>
        <w:ind w:left="561" w:hanging="561"/>
        <w:jc w:val="both"/>
      </w:pPr>
      <w:r>
        <w:t>2.</w:t>
      </w:r>
      <w:r w:rsidR="00971061">
        <w:t>5</w:t>
      </w:r>
      <w:r w:rsidR="00971061">
        <w:tab/>
      </w:r>
      <w:r w:rsidRPr="00997EFC">
        <w:t>The forecast in this report takes into account the latest data available including an estimate of likely reliefs, reductions due to appeals and an estimate of likely losses due to some debts being uncollectable.</w:t>
      </w:r>
    </w:p>
    <w:p w14:paraId="1BB8E2A9" w14:textId="77777777" w:rsidR="001B62BD" w:rsidRPr="00997EFC" w:rsidRDefault="001B62BD" w:rsidP="001B62BD">
      <w:pPr>
        <w:ind w:left="561" w:hanging="561"/>
        <w:jc w:val="both"/>
      </w:pPr>
    </w:p>
    <w:p w14:paraId="1EDC29B7" w14:textId="47BD4617" w:rsidR="001B62BD" w:rsidRDefault="001B62BD" w:rsidP="001B62BD">
      <w:pPr>
        <w:ind w:left="561" w:hanging="561"/>
        <w:jc w:val="both"/>
      </w:pPr>
      <w:r>
        <w:t>2.</w:t>
      </w:r>
      <w:r w:rsidR="00971061">
        <w:t>6</w:t>
      </w:r>
      <w:r w:rsidR="00971061">
        <w:tab/>
      </w:r>
      <w:r w:rsidRPr="00997EFC">
        <w:t>The forecast is requi</w:t>
      </w:r>
      <w:r>
        <w:t>red to be formally notified to DLUHC</w:t>
      </w:r>
      <w:r w:rsidRPr="00997EFC">
        <w:t xml:space="preserve"> and preceptors. This is done by billing authorities having to complete a </w:t>
      </w:r>
      <w:r>
        <w:t xml:space="preserve">DLUHC </w:t>
      </w:r>
      <w:r w:rsidRPr="00997EFC">
        <w:t xml:space="preserve">business rates return estimating the likely business rates. The return takes the form of a formal National Non-Domestic rates return 1 (NDR1) and uses the data used for the Council’s Business Rates Tax Base estimate. </w:t>
      </w:r>
    </w:p>
    <w:p w14:paraId="7F390D6B" w14:textId="77777777" w:rsidR="001B62BD" w:rsidRDefault="001B62BD" w:rsidP="001B62BD">
      <w:pPr>
        <w:ind w:left="561" w:hanging="561"/>
        <w:jc w:val="both"/>
      </w:pPr>
    </w:p>
    <w:p w14:paraId="312E3B00" w14:textId="4A994C6E" w:rsidR="00285533" w:rsidRDefault="001B62BD" w:rsidP="001B62BD">
      <w:pPr>
        <w:ind w:left="561" w:hanging="561"/>
        <w:jc w:val="both"/>
      </w:pPr>
      <w:r>
        <w:t>2.</w:t>
      </w:r>
      <w:r w:rsidR="007E0400">
        <w:t>7</w:t>
      </w:r>
      <w:r w:rsidR="007E0400">
        <w:tab/>
      </w:r>
      <w:r w:rsidRPr="00997EFC">
        <w:t>The calculation of Harrow’s NDR income figure for 20</w:t>
      </w:r>
      <w:r>
        <w:t>23</w:t>
      </w:r>
      <w:r w:rsidRPr="00997EFC">
        <w:t>/</w:t>
      </w:r>
      <w:r>
        <w:t>24</w:t>
      </w:r>
      <w:r w:rsidRPr="00997EFC">
        <w:t xml:space="preserve"> and for the formal outturn is therefore as follows</w:t>
      </w:r>
      <w:r w:rsidR="00C10883">
        <w:t>:</w:t>
      </w:r>
    </w:p>
    <w:p w14:paraId="7B220FF4" w14:textId="77777777" w:rsidR="001B62BD" w:rsidRDefault="001B62BD" w:rsidP="001B62BD">
      <w:pPr>
        <w:ind w:left="561" w:hanging="561"/>
        <w:jc w:val="both"/>
      </w:pPr>
    </w:p>
    <w:tbl>
      <w:tblPr>
        <w:tblW w:w="14239"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84"/>
        <w:gridCol w:w="4581"/>
        <w:gridCol w:w="2096"/>
        <w:gridCol w:w="816"/>
        <w:gridCol w:w="587"/>
        <w:gridCol w:w="889"/>
        <w:gridCol w:w="1332"/>
        <w:gridCol w:w="724"/>
        <w:gridCol w:w="1979"/>
      </w:tblGrid>
      <w:tr w:rsidR="001B62BD" w:rsidRPr="006B4C9F" w14:paraId="10C51032" w14:textId="77777777" w:rsidTr="00C10883">
        <w:trPr>
          <w:gridBefore w:val="2"/>
          <w:gridAfter w:val="4"/>
          <w:wBefore w:w="1235" w:type="dxa"/>
          <w:wAfter w:w="4924" w:type="dxa"/>
        </w:trPr>
        <w:tc>
          <w:tcPr>
            <w:tcW w:w="8080" w:type="dxa"/>
            <w:gridSpan w:val="4"/>
          </w:tcPr>
          <w:p w14:paraId="64CB032B" w14:textId="77777777" w:rsidR="001B62BD" w:rsidRPr="00556D02" w:rsidRDefault="001B62BD" w:rsidP="00F95334">
            <w:pPr>
              <w:jc w:val="both"/>
              <w:rPr>
                <w:szCs w:val="24"/>
              </w:rPr>
            </w:pPr>
            <w:r w:rsidRPr="00556D02">
              <w:rPr>
                <w:szCs w:val="24"/>
              </w:rPr>
              <w:t>Gross Rates Yield:</w:t>
            </w:r>
          </w:p>
          <w:p w14:paraId="5B456874" w14:textId="77777777" w:rsidR="001B62BD" w:rsidRPr="00556D02" w:rsidRDefault="001B62BD" w:rsidP="00F95334">
            <w:pPr>
              <w:jc w:val="both"/>
              <w:rPr>
                <w:szCs w:val="24"/>
              </w:rPr>
            </w:pPr>
            <w:r w:rsidRPr="00556D02">
              <w:rPr>
                <w:szCs w:val="24"/>
              </w:rPr>
              <w:t xml:space="preserve">                Total Rateable value  x  NDR rate multiplier</w:t>
            </w:r>
          </w:p>
        </w:tc>
      </w:tr>
      <w:tr w:rsidR="001B62BD" w:rsidRPr="006B4C9F" w14:paraId="0A8F6821" w14:textId="77777777" w:rsidTr="00C10883">
        <w:trPr>
          <w:gridBefore w:val="2"/>
          <w:gridAfter w:val="4"/>
          <w:wBefore w:w="1235" w:type="dxa"/>
          <w:wAfter w:w="4924" w:type="dxa"/>
        </w:trPr>
        <w:tc>
          <w:tcPr>
            <w:tcW w:w="8080" w:type="dxa"/>
            <w:gridSpan w:val="4"/>
          </w:tcPr>
          <w:p w14:paraId="730B10C6" w14:textId="77777777" w:rsidR="001B62BD" w:rsidRPr="00556D02" w:rsidRDefault="001B62BD" w:rsidP="00F95334">
            <w:pPr>
              <w:jc w:val="both"/>
              <w:rPr>
                <w:szCs w:val="24"/>
              </w:rPr>
            </w:pPr>
            <w:r w:rsidRPr="00556D02">
              <w:rPr>
                <w:szCs w:val="24"/>
              </w:rPr>
              <w:t>Less Mandatory Reliefs</w:t>
            </w:r>
          </w:p>
        </w:tc>
      </w:tr>
      <w:tr w:rsidR="001B62BD" w:rsidRPr="006B4C9F" w14:paraId="530FACC3" w14:textId="77777777" w:rsidTr="00C10883">
        <w:trPr>
          <w:gridBefore w:val="2"/>
          <w:gridAfter w:val="4"/>
          <w:wBefore w:w="1235" w:type="dxa"/>
          <w:wAfter w:w="4924" w:type="dxa"/>
        </w:trPr>
        <w:tc>
          <w:tcPr>
            <w:tcW w:w="8080" w:type="dxa"/>
            <w:gridSpan w:val="4"/>
          </w:tcPr>
          <w:p w14:paraId="3A9A788E" w14:textId="77777777" w:rsidR="001B62BD" w:rsidRPr="00556D02" w:rsidRDefault="001B62BD" w:rsidP="00F95334">
            <w:pPr>
              <w:jc w:val="both"/>
              <w:rPr>
                <w:szCs w:val="24"/>
              </w:rPr>
            </w:pPr>
            <w:r w:rsidRPr="00556D02">
              <w:rPr>
                <w:szCs w:val="24"/>
              </w:rPr>
              <w:t>Less Discretionary Reliefs</w:t>
            </w:r>
          </w:p>
        </w:tc>
      </w:tr>
      <w:tr w:rsidR="001B62BD" w:rsidRPr="006B4C9F" w14:paraId="55E9B4EF" w14:textId="77777777" w:rsidTr="00C10883">
        <w:trPr>
          <w:gridBefore w:val="2"/>
          <w:gridAfter w:val="4"/>
          <w:wBefore w:w="1235" w:type="dxa"/>
          <w:wAfter w:w="4924" w:type="dxa"/>
        </w:trPr>
        <w:tc>
          <w:tcPr>
            <w:tcW w:w="8080" w:type="dxa"/>
            <w:gridSpan w:val="4"/>
          </w:tcPr>
          <w:p w14:paraId="1B639221" w14:textId="77777777" w:rsidR="001B62BD" w:rsidRPr="00556D02" w:rsidRDefault="001B62BD" w:rsidP="00F95334">
            <w:pPr>
              <w:jc w:val="both"/>
              <w:rPr>
                <w:szCs w:val="24"/>
              </w:rPr>
            </w:pPr>
            <w:r w:rsidRPr="00556D02">
              <w:rPr>
                <w:szCs w:val="24"/>
              </w:rPr>
              <w:t>Less estimated losses on Collection</w:t>
            </w:r>
          </w:p>
        </w:tc>
      </w:tr>
      <w:tr w:rsidR="001B62BD" w:rsidRPr="006B4C9F" w14:paraId="7FB75E53" w14:textId="77777777" w:rsidTr="00C10883">
        <w:trPr>
          <w:gridBefore w:val="2"/>
          <w:gridAfter w:val="4"/>
          <w:wBefore w:w="1235" w:type="dxa"/>
          <w:wAfter w:w="4924" w:type="dxa"/>
        </w:trPr>
        <w:tc>
          <w:tcPr>
            <w:tcW w:w="8080" w:type="dxa"/>
            <w:gridSpan w:val="4"/>
          </w:tcPr>
          <w:p w14:paraId="01CF1077" w14:textId="77777777" w:rsidR="001B62BD" w:rsidRPr="00556D02" w:rsidRDefault="001B62BD" w:rsidP="00F95334">
            <w:pPr>
              <w:jc w:val="both"/>
              <w:rPr>
                <w:szCs w:val="24"/>
              </w:rPr>
            </w:pPr>
            <w:r w:rsidRPr="00556D02">
              <w:rPr>
                <w:szCs w:val="24"/>
              </w:rPr>
              <w:t xml:space="preserve">Less Allowance for costs of collection (as set by </w:t>
            </w:r>
            <w:r>
              <w:rPr>
                <w:szCs w:val="24"/>
              </w:rPr>
              <w:t>DLUHC</w:t>
            </w:r>
            <w:r w:rsidRPr="00556D02">
              <w:rPr>
                <w:szCs w:val="24"/>
              </w:rPr>
              <w:t xml:space="preserve"> formula)</w:t>
            </w:r>
          </w:p>
        </w:tc>
      </w:tr>
      <w:tr w:rsidR="001B62BD" w:rsidRPr="006B4C9F" w14:paraId="29C3888C" w14:textId="77777777" w:rsidTr="00C10883">
        <w:trPr>
          <w:gridBefore w:val="2"/>
          <w:gridAfter w:val="4"/>
          <w:wBefore w:w="1235" w:type="dxa"/>
          <w:wAfter w:w="4924" w:type="dxa"/>
        </w:trPr>
        <w:tc>
          <w:tcPr>
            <w:tcW w:w="8080" w:type="dxa"/>
            <w:gridSpan w:val="4"/>
          </w:tcPr>
          <w:p w14:paraId="38AA7FBB" w14:textId="77777777" w:rsidR="001B62BD" w:rsidRPr="00556D02" w:rsidRDefault="001B62BD" w:rsidP="00F95334">
            <w:pPr>
              <w:jc w:val="both"/>
              <w:rPr>
                <w:szCs w:val="24"/>
              </w:rPr>
            </w:pPr>
            <w:r w:rsidRPr="00556D02">
              <w:rPr>
                <w:szCs w:val="24"/>
              </w:rPr>
              <w:t>Plus or Minus Rate Retention Adjustments for:</w:t>
            </w:r>
          </w:p>
          <w:p w14:paraId="7FF2F0C9" w14:textId="77777777" w:rsidR="001B62BD" w:rsidRPr="00556D02" w:rsidRDefault="001B62BD" w:rsidP="00F95334">
            <w:pPr>
              <w:jc w:val="both"/>
              <w:rPr>
                <w:szCs w:val="24"/>
              </w:rPr>
            </w:pPr>
            <w:r w:rsidRPr="00556D02">
              <w:rPr>
                <w:szCs w:val="24"/>
              </w:rPr>
              <w:t xml:space="preserve">                 Change in Rateable Value due to growth or </w:t>
            </w:r>
          </w:p>
          <w:p w14:paraId="260C56A4" w14:textId="77777777" w:rsidR="001B62BD" w:rsidRPr="00556D02" w:rsidRDefault="001B62BD" w:rsidP="00F95334">
            <w:pPr>
              <w:jc w:val="both"/>
              <w:rPr>
                <w:szCs w:val="24"/>
              </w:rPr>
            </w:pPr>
            <w:r w:rsidRPr="00556D02">
              <w:rPr>
                <w:szCs w:val="24"/>
              </w:rPr>
              <w:t xml:space="preserve">                 reduction in property numbers</w:t>
            </w:r>
          </w:p>
          <w:p w14:paraId="4264A2BA" w14:textId="77777777" w:rsidR="001B62BD" w:rsidRPr="00556D02" w:rsidRDefault="001B62BD" w:rsidP="00F95334">
            <w:pPr>
              <w:jc w:val="both"/>
              <w:rPr>
                <w:szCs w:val="24"/>
              </w:rPr>
            </w:pPr>
            <w:r w:rsidRPr="00556D02">
              <w:rPr>
                <w:szCs w:val="24"/>
              </w:rPr>
              <w:t xml:space="preserve">                 Adjustment due to Appeals                  </w:t>
            </w:r>
          </w:p>
        </w:tc>
      </w:tr>
      <w:tr w:rsidR="001B62BD" w:rsidRPr="006B4C9F" w14:paraId="16ACD52C" w14:textId="77777777" w:rsidTr="00C10883">
        <w:trPr>
          <w:gridBefore w:val="2"/>
          <w:gridAfter w:val="4"/>
          <w:wBefore w:w="1235" w:type="dxa"/>
          <w:wAfter w:w="4924" w:type="dxa"/>
        </w:trPr>
        <w:tc>
          <w:tcPr>
            <w:tcW w:w="8080" w:type="dxa"/>
            <w:gridSpan w:val="4"/>
          </w:tcPr>
          <w:p w14:paraId="4D5A2791" w14:textId="77777777" w:rsidR="001B62BD" w:rsidRPr="00556D02" w:rsidRDefault="001B62BD" w:rsidP="00F95334">
            <w:pPr>
              <w:jc w:val="both"/>
              <w:rPr>
                <w:szCs w:val="24"/>
              </w:rPr>
            </w:pPr>
            <w:r w:rsidRPr="00556D02">
              <w:rPr>
                <w:szCs w:val="24"/>
              </w:rPr>
              <w:t>Net Business Rates Yield and base of the calculation of central and local shares</w:t>
            </w:r>
          </w:p>
        </w:tc>
      </w:tr>
      <w:tr w:rsidR="001B62BD" w:rsidRPr="001B3A29" w14:paraId="49A5F2D5"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51" w:type="dxa"/>
          <w:trHeight w:val="310"/>
        </w:trPr>
        <w:tc>
          <w:tcPr>
            <w:tcW w:w="10585" w:type="dxa"/>
            <w:gridSpan w:val="7"/>
            <w:tcBorders>
              <w:top w:val="nil"/>
              <w:left w:val="nil"/>
              <w:bottom w:val="nil"/>
              <w:right w:val="nil"/>
            </w:tcBorders>
            <w:shd w:val="clear" w:color="auto" w:fill="auto"/>
            <w:noWrap/>
            <w:vAlign w:val="bottom"/>
          </w:tcPr>
          <w:p w14:paraId="7F7AB73F" w14:textId="77777777" w:rsidR="001B62BD" w:rsidRPr="001B3A29" w:rsidRDefault="001B62BD" w:rsidP="00F95334">
            <w:pPr>
              <w:ind w:left="561" w:hanging="561"/>
              <w:jc w:val="both"/>
              <w:rPr>
                <w:b/>
                <w:bCs/>
                <w:color w:val="FF0000"/>
                <w:szCs w:val="24"/>
              </w:rPr>
            </w:pPr>
          </w:p>
          <w:p w14:paraId="7FA48DF3" w14:textId="77777777" w:rsidR="001B62BD" w:rsidRPr="001B3A29" w:rsidRDefault="001B62BD" w:rsidP="00F95334">
            <w:pPr>
              <w:rPr>
                <w:rFonts w:cs="Arial"/>
                <w:b/>
                <w:bCs/>
                <w:color w:val="FF0000"/>
                <w:szCs w:val="24"/>
                <w:lang w:eastAsia="en-GB"/>
              </w:rPr>
            </w:pPr>
          </w:p>
        </w:tc>
        <w:tc>
          <w:tcPr>
            <w:tcW w:w="724" w:type="dxa"/>
            <w:tcBorders>
              <w:top w:val="nil"/>
              <w:left w:val="nil"/>
              <w:bottom w:val="nil"/>
              <w:right w:val="nil"/>
            </w:tcBorders>
            <w:shd w:val="clear" w:color="auto" w:fill="auto"/>
            <w:noWrap/>
            <w:vAlign w:val="bottom"/>
            <w:hideMark/>
          </w:tcPr>
          <w:p w14:paraId="66E69790" w14:textId="77777777" w:rsidR="001B62BD" w:rsidRPr="001B3A29" w:rsidRDefault="001B62BD" w:rsidP="00F95334">
            <w:pPr>
              <w:rPr>
                <w:rFonts w:cs="Arial"/>
                <w:b/>
                <w:bCs/>
                <w:color w:val="FF0000"/>
                <w:szCs w:val="24"/>
                <w:lang w:eastAsia="en-GB"/>
              </w:rPr>
            </w:pPr>
          </w:p>
        </w:tc>
        <w:tc>
          <w:tcPr>
            <w:tcW w:w="1979" w:type="dxa"/>
            <w:tcBorders>
              <w:top w:val="nil"/>
              <w:left w:val="nil"/>
              <w:bottom w:val="nil"/>
              <w:right w:val="nil"/>
            </w:tcBorders>
            <w:shd w:val="clear" w:color="auto" w:fill="auto"/>
            <w:noWrap/>
            <w:vAlign w:val="bottom"/>
            <w:hideMark/>
          </w:tcPr>
          <w:p w14:paraId="37516BEB" w14:textId="77777777" w:rsidR="001B62BD" w:rsidRPr="001B3A29" w:rsidRDefault="001B62BD" w:rsidP="00F95334">
            <w:pPr>
              <w:rPr>
                <w:rFonts w:ascii="Times New Roman" w:hAnsi="Times New Roman"/>
                <w:color w:val="FF0000"/>
                <w:sz w:val="20"/>
                <w:lang w:eastAsia="en-GB"/>
              </w:rPr>
            </w:pPr>
          </w:p>
        </w:tc>
      </w:tr>
      <w:tr w:rsidR="008C0F4A" w:rsidRPr="008C0F4A" w14:paraId="24DC75D5"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320"/>
        </w:trPr>
        <w:tc>
          <w:tcPr>
            <w:tcW w:w="5816" w:type="dxa"/>
            <w:gridSpan w:val="3"/>
            <w:tcBorders>
              <w:top w:val="nil"/>
              <w:left w:val="nil"/>
              <w:bottom w:val="nil"/>
              <w:right w:val="nil"/>
            </w:tcBorders>
            <w:shd w:val="clear" w:color="auto" w:fill="auto"/>
            <w:noWrap/>
            <w:vAlign w:val="bottom"/>
            <w:hideMark/>
          </w:tcPr>
          <w:p w14:paraId="588A6706" w14:textId="77777777" w:rsidR="008C0F4A" w:rsidRPr="008C0F4A" w:rsidRDefault="008C0F4A" w:rsidP="008C0F4A">
            <w:pPr>
              <w:rPr>
                <w:rFonts w:cs="Arial"/>
                <w:b/>
                <w:bCs/>
                <w:szCs w:val="24"/>
                <w:lang w:eastAsia="en-GB"/>
              </w:rPr>
            </w:pPr>
            <w:r w:rsidRPr="008C0F4A">
              <w:rPr>
                <w:rFonts w:cs="Arial"/>
                <w:b/>
                <w:bCs/>
                <w:szCs w:val="24"/>
                <w:lang w:eastAsia="en-GB"/>
              </w:rPr>
              <w:t>Projected NDR Income calculation for 2023/24</w:t>
            </w:r>
          </w:p>
        </w:tc>
        <w:tc>
          <w:tcPr>
            <w:tcW w:w="2096" w:type="dxa"/>
            <w:tcBorders>
              <w:top w:val="nil"/>
              <w:left w:val="nil"/>
              <w:bottom w:val="nil"/>
              <w:right w:val="nil"/>
            </w:tcBorders>
            <w:shd w:val="clear" w:color="auto" w:fill="auto"/>
            <w:noWrap/>
            <w:vAlign w:val="bottom"/>
            <w:hideMark/>
          </w:tcPr>
          <w:p w14:paraId="509F2938" w14:textId="77777777" w:rsidR="008C0F4A" w:rsidRPr="008C0F4A" w:rsidRDefault="008C0F4A" w:rsidP="008C0F4A">
            <w:pPr>
              <w:rPr>
                <w:rFonts w:cs="Arial"/>
                <w:b/>
                <w:bCs/>
                <w:szCs w:val="24"/>
                <w:lang w:eastAsia="en-GB"/>
              </w:rPr>
            </w:pPr>
          </w:p>
        </w:tc>
        <w:tc>
          <w:tcPr>
            <w:tcW w:w="816" w:type="dxa"/>
            <w:tcBorders>
              <w:top w:val="nil"/>
              <w:left w:val="nil"/>
              <w:bottom w:val="nil"/>
              <w:right w:val="nil"/>
            </w:tcBorders>
            <w:shd w:val="clear" w:color="auto" w:fill="auto"/>
            <w:noWrap/>
            <w:vAlign w:val="bottom"/>
            <w:hideMark/>
          </w:tcPr>
          <w:p w14:paraId="04FD3399" w14:textId="77777777" w:rsidR="008C0F4A" w:rsidRPr="008C0F4A" w:rsidRDefault="008C0F4A" w:rsidP="008C0F4A">
            <w:pPr>
              <w:rPr>
                <w:rFonts w:ascii="Times New Roman" w:hAnsi="Times New Roman"/>
                <w:sz w:val="20"/>
                <w:lang w:eastAsia="en-GB"/>
              </w:rPr>
            </w:pPr>
          </w:p>
        </w:tc>
        <w:tc>
          <w:tcPr>
            <w:tcW w:w="1476" w:type="dxa"/>
            <w:gridSpan w:val="2"/>
            <w:tcBorders>
              <w:top w:val="nil"/>
              <w:left w:val="nil"/>
              <w:bottom w:val="nil"/>
              <w:right w:val="nil"/>
            </w:tcBorders>
            <w:shd w:val="clear" w:color="auto" w:fill="auto"/>
            <w:noWrap/>
            <w:vAlign w:val="bottom"/>
            <w:hideMark/>
          </w:tcPr>
          <w:p w14:paraId="00B1176E" w14:textId="77777777" w:rsidR="008C0F4A" w:rsidRPr="008C0F4A" w:rsidRDefault="008C0F4A" w:rsidP="008C0F4A">
            <w:pPr>
              <w:rPr>
                <w:rFonts w:ascii="Times New Roman" w:hAnsi="Times New Roman"/>
                <w:sz w:val="20"/>
                <w:lang w:eastAsia="en-GB"/>
              </w:rPr>
            </w:pPr>
          </w:p>
        </w:tc>
      </w:tr>
      <w:tr w:rsidR="008C0F4A" w:rsidRPr="008C0F4A" w14:paraId="3897619A"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single" w:sz="8" w:space="0" w:color="auto"/>
              <w:left w:val="single" w:sz="8" w:space="0" w:color="auto"/>
              <w:bottom w:val="nil"/>
              <w:right w:val="nil"/>
            </w:tcBorders>
            <w:shd w:val="clear" w:color="auto" w:fill="auto"/>
            <w:noWrap/>
            <w:vAlign w:val="bottom"/>
            <w:hideMark/>
          </w:tcPr>
          <w:p w14:paraId="38A13FED" w14:textId="77777777" w:rsidR="008C0F4A" w:rsidRPr="008C0F4A" w:rsidRDefault="008C0F4A" w:rsidP="008C0F4A">
            <w:pPr>
              <w:rPr>
                <w:rFonts w:cs="Arial"/>
                <w:sz w:val="22"/>
                <w:szCs w:val="22"/>
                <w:lang w:eastAsia="en-GB"/>
              </w:rPr>
            </w:pPr>
            <w:r w:rsidRPr="008C0F4A">
              <w:rPr>
                <w:rFonts w:cs="Arial"/>
                <w:sz w:val="22"/>
                <w:szCs w:val="22"/>
                <w:lang w:eastAsia="en-GB"/>
              </w:rPr>
              <w:t xml:space="preserve">Using current year data (2023 Draft List @ 17/11/2022) </w:t>
            </w:r>
          </w:p>
        </w:tc>
        <w:tc>
          <w:tcPr>
            <w:tcW w:w="2096" w:type="dxa"/>
            <w:tcBorders>
              <w:top w:val="single" w:sz="8" w:space="0" w:color="auto"/>
              <w:left w:val="nil"/>
              <w:bottom w:val="nil"/>
              <w:right w:val="nil"/>
            </w:tcBorders>
            <w:shd w:val="clear" w:color="auto" w:fill="auto"/>
            <w:noWrap/>
            <w:vAlign w:val="bottom"/>
            <w:hideMark/>
          </w:tcPr>
          <w:p w14:paraId="1D1E3A62"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816" w:type="dxa"/>
            <w:tcBorders>
              <w:top w:val="single" w:sz="8" w:space="0" w:color="auto"/>
              <w:left w:val="nil"/>
              <w:bottom w:val="nil"/>
              <w:right w:val="nil"/>
            </w:tcBorders>
            <w:shd w:val="clear" w:color="auto" w:fill="auto"/>
            <w:noWrap/>
            <w:vAlign w:val="bottom"/>
            <w:hideMark/>
          </w:tcPr>
          <w:p w14:paraId="2BB28424"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1476" w:type="dxa"/>
            <w:gridSpan w:val="2"/>
            <w:tcBorders>
              <w:top w:val="single" w:sz="8" w:space="0" w:color="auto"/>
              <w:left w:val="nil"/>
              <w:bottom w:val="nil"/>
              <w:right w:val="single" w:sz="8" w:space="0" w:color="auto"/>
            </w:tcBorders>
            <w:shd w:val="clear" w:color="auto" w:fill="auto"/>
            <w:noWrap/>
            <w:vAlign w:val="bottom"/>
            <w:hideMark/>
          </w:tcPr>
          <w:p w14:paraId="7A8417F1"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3C456854"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510"/>
        </w:trPr>
        <w:tc>
          <w:tcPr>
            <w:tcW w:w="5816" w:type="dxa"/>
            <w:gridSpan w:val="3"/>
            <w:tcBorders>
              <w:top w:val="nil"/>
              <w:left w:val="single" w:sz="8" w:space="0" w:color="auto"/>
              <w:bottom w:val="nil"/>
              <w:right w:val="nil"/>
            </w:tcBorders>
            <w:shd w:val="clear" w:color="auto" w:fill="auto"/>
            <w:noWrap/>
            <w:vAlign w:val="bottom"/>
            <w:hideMark/>
          </w:tcPr>
          <w:p w14:paraId="22881DE6"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2096" w:type="dxa"/>
            <w:tcBorders>
              <w:top w:val="nil"/>
              <w:left w:val="nil"/>
              <w:bottom w:val="nil"/>
              <w:right w:val="nil"/>
            </w:tcBorders>
            <w:shd w:val="clear" w:color="auto" w:fill="auto"/>
            <w:noWrap/>
            <w:vAlign w:val="bottom"/>
            <w:hideMark/>
          </w:tcPr>
          <w:p w14:paraId="5AEFC8EF" w14:textId="77777777" w:rsidR="008C0F4A" w:rsidRPr="008C0F4A" w:rsidRDefault="008C0F4A" w:rsidP="008C0F4A">
            <w:pPr>
              <w:jc w:val="center"/>
              <w:rPr>
                <w:rFonts w:cs="Arial"/>
                <w:b/>
                <w:bCs/>
                <w:sz w:val="22"/>
                <w:szCs w:val="22"/>
                <w:lang w:eastAsia="en-GB"/>
              </w:rPr>
            </w:pPr>
            <w:r w:rsidRPr="008C0F4A">
              <w:rPr>
                <w:rFonts w:cs="Arial"/>
                <w:b/>
                <w:bCs/>
                <w:sz w:val="22"/>
                <w:szCs w:val="22"/>
                <w:lang w:eastAsia="en-GB"/>
              </w:rPr>
              <w:t>£m</w:t>
            </w:r>
          </w:p>
        </w:tc>
        <w:tc>
          <w:tcPr>
            <w:tcW w:w="816" w:type="dxa"/>
            <w:tcBorders>
              <w:top w:val="nil"/>
              <w:left w:val="nil"/>
              <w:bottom w:val="nil"/>
              <w:right w:val="nil"/>
            </w:tcBorders>
            <w:shd w:val="clear" w:color="auto" w:fill="auto"/>
            <w:noWrap/>
            <w:vAlign w:val="bottom"/>
            <w:hideMark/>
          </w:tcPr>
          <w:p w14:paraId="3BFC647F" w14:textId="77777777" w:rsidR="008C0F4A" w:rsidRPr="008C0F4A" w:rsidRDefault="008C0F4A" w:rsidP="008C0F4A">
            <w:pPr>
              <w:jc w:val="center"/>
              <w:rPr>
                <w:rFonts w:cs="Arial"/>
                <w:b/>
                <w:bCs/>
                <w:sz w:val="22"/>
                <w:szCs w:val="22"/>
                <w:lang w:eastAsia="en-GB"/>
              </w:rPr>
            </w:pPr>
          </w:p>
        </w:tc>
        <w:tc>
          <w:tcPr>
            <w:tcW w:w="1476" w:type="dxa"/>
            <w:gridSpan w:val="2"/>
            <w:tcBorders>
              <w:top w:val="nil"/>
              <w:left w:val="nil"/>
              <w:bottom w:val="nil"/>
              <w:right w:val="single" w:sz="8" w:space="0" w:color="auto"/>
            </w:tcBorders>
            <w:shd w:val="clear" w:color="auto" w:fill="auto"/>
            <w:noWrap/>
            <w:vAlign w:val="bottom"/>
            <w:hideMark/>
          </w:tcPr>
          <w:p w14:paraId="5CA836A6"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7AB82F0C"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4DC0392E" w14:textId="77777777" w:rsidR="008C0F4A" w:rsidRPr="008C0F4A" w:rsidRDefault="008C0F4A" w:rsidP="008C0F4A">
            <w:pPr>
              <w:rPr>
                <w:rFonts w:cs="Arial"/>
                <w:sz w:val="22"/>
                <w:szCs w:val="22"/>
                <w:lang w:eastAsia="en-GB"/>
              </w:rPr>
            </w:pPr>
            <w:r w:rsidRPr="008C0F4A">
              <w:rPr>
                <w:rFonts w:cs="Arial"/>
                <w:sz w:val="22"/>
                <w:szCs w:val="22"/>
                <w:lang w:eastAsia="en-GB"/>
              </w:rPr>
              <w:t>Gross Rateable value - Rating List 2023 draft list</w:t>
            </w:r>
          </w:p>
        </w:tc>
        <w:tc>
          <w:tcPr>
            <w:tcW w:w="20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E6B4E" w14:textId="77777777" w:rsidR="008C0F4A" w:rsidRPr="008C0F4A" w:rsidRDefault="008C0F4A" w:rsidP="008C0F4A">
            <w:pPr>
              <w:jc w:val="right"/>
              <w:rPr>
                <w:rFonts w:cs="Arial"/>
                <w:sz w:val="22"/>
                <w:szCs w:val="22"/>
                <w:lang w:eastAsia="en-GB"/>
              </w:rPr>
            </w:pPr>
            <w:r w:rsidRPr="008C0F4A">
              <w:rPr>
                <w:rFonts w:cs="Arial"/>
                <w:sz w:val="22"/>
                <w:szCs w:val="22"/>
                <w:lang w:eastAsia="en-GB"/>
              </w:rPr>
              <w:t>145,715,704</w:t>
            </w:r>
          </w:p>
        </w:tc>
        <w:tc>
          <w:tcPr>
            <w:tcW w:w="816" w:type="dxa"/>
            <w:tcBorders>
              <w:top w:val="nil"/>
              <w:left w:val="nil"/>
              <w:bottom w:val="nil"/>
              <w:right w:val="nil"/>
            </w:tcBorders>
            <w:shd w:val="clear" w:color="auto" w:fill="auto"/>
            <w:noWrap/>
            <w:vAlign w:val="bottom"/>
            <w:hideMark/>
          </w:tcPr>
          <w:p w14:paraId="5B47881E" w14:textId="77777777" w:rsidR="008C0F4A" w:rsidRPr="008C0F4A" w:rsidRDefault="008C0F4A" w:rsidP="008C0F4A">
            <w:pPr>
              <w:jc w:val="center"/>
              <w:rPr>
                <w:rFonts w:cs="Arial"/>
                <w:sz w:val="22"/>
                <w:szCs w:val="22"/>
                <w:lang w:eastAsia="en-GB"/>
              </w:rPr>
            </w:pPr>
            <w:r w:rsidRPr="008C0F4A">
              <w:rPr>
                <w:rFonts w:cs="Arial"/>
                <w:sz w:val="22"/>
                <w:szCs w:val="22"/>
                <w:lang w:eastAsia="en-GB"/>
              </w:rPr>
              <w:t>a</w:t>
            </w:r>
          </w:p>
        </w:tc>
        <w:tc>
          <w:tcPr>
            <w:tcW w:w="1476" w:type="dxa"/>
            <w:gridSpan w:val="2"/>
            <w:tcBorders>
              <w:top w:val="nil"/>
              <w:left w:val="nil"/>
              <w:bottom w:val="nil"/>
              <w:right w:val="single" w:sz="8" w:space="0" w:color="auto"/>
            </w:tcBorders>
            <w:shd w:val="clear" w:color="auto" w:fill="auto"/>
            <w:noWrap/>
            <w:vAlign w:val="bottom"/>
            <w:hideMark/>
          </w:tcPr>
          <w:p w14:paraId="623DDF9B"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4756FA8B"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06F1D53A" w14:textId="77777777" w:rsidR="008C0F4A" w:rsidRPr="008C0F4A" w:rsidRDefault="008C0F4A" w:rsidP="008C0F4A">
            <w:pPr>
              <w:rPr>
                <w:rFonts w:cs="Arial"/>
                <w:sz w:val="22"/>
                <w:szCs w:val="22"/>
                <w:lang w:eastAsia="en-GB"/>
              </w:rPr>
            </w:pPr>
            <w:r w:rsidRPr="008C0F4A">
              <w:rPr>
                <w:rFonts w:cs="Arial"/>
                <w:sz w:val="22"/>
                <w:szCs w:val="22"/>
                <w:lang w:eastAsia="en-GB"/>
              </w:rPr>
              <w:t>Small Business Rate Multiplier 2022/23</w:t>
            </w:r>
          </w:p>
        </w:tc>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068DBAE9" w14:textId="77777777" w:rsidR="008C0F4A" w:rsidRPr="008C0F4A" w:rsidRDefault="008C0F4A" w:rsidP="008C0F4A">
            <w:pPr>
              <w:jc w:val="right"/>
              <w:rPr>
                <w:rFonts w:cs="Arial"/>
                <w:sz w:val="22"/>
                <w:szCs w:val="22"/>
                <w:lang w:eastAsia="en-GB"/>
              </w:rPr>
            </w:pPr>
            <w:r w:rsidRPr="008C0F4A">
              <w:rPr>
                <w:rFonts w:cs="Arial"/>
                <w:sz w:val="22"/>
                <w:szCs w:val="22"/>
                <w:lang w:eastAsia="en-GB"/>
              </w:rPr>
              <w:t>0.499</w:t>
            </w:r>
          </w:p>
        </w:tc>
        <w:tc>
          <w:tcPr>
            <w:tcW w:w="816" w:type="dxa"/>
            <w:tcBorders>
              <w:top w:val="nil"/>
              <w:left w:val="nil"/>
              <w:bottom w:val="nil"/>
              <w:right w:val="nil"/>
            </w:tcBorders>
            <w:shd w:val="clear" w:color="auto" w:fill="auto"/>
            <w:noWrap/>
            <w:vAlign w:val="bottom"/>
            <w:hideMark/>
          </w:tcPr>
          <w:p w14:paraId="06482FE6" w14:textId="77777777" w:rsidR="008C0F4A" w:rsidRPr="008C0F4A" w:rsidRDefault="008C0F4A" w:rsidP="008C0F4A">
            <w:pPr>
              <w:jc w:val="center"/>
              <w:rPr>
                <w:rFonts w:cs="Arial"/>
                <w:sz w:val="22"/>
                <w:szCs w:val="22"/>
                <w:lang w:eastAsia="en-GB"/>
              </w:rPr>
            </w:pPr>
            <w:r w:rsidRPr="008C0F4A">
              <w:rPr>
                <w:rFonts w:cs="Arial"/>
                <w:sz w:val="22"/>
                <w:szCs w:val="22"/>
                <w:lang w:eastAsia="en-GB"/>
              </w:rPr>
              <w:t>b</w:t>
            </w:r>
          </w:p>
        </w:tc>
        <w:tc>
          <w:tcPr>
            <w:tcW w:w="1476" w:type="dxa"/>
            <w:gridSpan w:val="2"/>
            <w:tcBorders>
              <w:top w:val="nil"/>
              <w:left w:val="nil"/>
              <w:bottom w:val="nil"/>
              <w:right w:val="single" w:sz="8" w:space="0" w:color="auto"/>
            </w:tcBorders>
            <w:shd w:val="clear" w:color="auto" w:fill="auto"/>
            <w:noWrap/>
            <w:vAlign w:val="bottom"/>
            <w:hideMark/>
          </w:tcPr>
          <w:p w14:paraId="1A624753" w14:textId="77777777" w:rsidR="008C0F4A" w:rsidRPr="008C0F4A" w:rsidRDefault="008C0F4A" w:rsidP="008C0F4A">
            <w:pPr>
              <w:rPr>
                <w:rFonts w:cs="Arial"/>
                <w:sz w:val="22"/>
                <w:szCs w:val="22"/>
                <w:lang w:eastAsia="en-GB"/>
              </w:rPr>
            </w:pPr>
            <w:r w:rsidRPr="008C0F4A">
              <w:rPr>
                <w:rFonts w:cs="Arial"/>
                <w:sz w:val="22"/>
                <w:szCs w:val="22"/>
                <w:lang w:eastAsia="en-GB"/>
              </w:rPr>
              <w:t xml:space="preserve"> </w:t>
            </w:r>
          </w:p>
        </w:tc>
      </w:tr>
      <w:tr w:rsidR="008C0F4A" w:rsidRPr="008C0F4A" w14:paraId="4A06AA54"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6ED67398" w14:textId="3F079E4C" w:rsidR="008C0F4A" w:rsidRPr="008C0F4A" w:rsidRDefault="008C0F4A" w:rsidP="008C0F4A">
            <w:pPr>
              <w:rPr>
                <w:rFonts w:cs="Arial"/>
                <w:sz w:val="22"/>
                <w:szCs w:val="22"/>
                <w:lang w:eastAsia="en-GB"/>
              </w:rPr>
            </w:pPr>
            <w:r w:rsidRPr="008C0F4A">
              <w:rPr>
                <w:rFonts w:cs="Arial"/>
                <w:sz w:val="22"/>
                <w:szCs w:val="22"/>
                <w:lang w:eastAsia="en-GB"/>
              </w:rPr>
              <w:t>Inflation Assumption / CPI @ Sept 2022</w:t>
            </w:r>
            <w:r w:rsidR="000D6F43">
              <w:rPr>
                <w:rFonts w:cs="Arial"/>
                <w:sz w:val="22"/>
                <w:szCs w:val="22"/>
                <w:lang w:eastAsia="en-GB"/>
              </w:rPr>
              <w:t>*</w:t>
            </w:r>
          </w:p>
        </w:tc>
        <w:tc>
          <w:tcPr>
            <w:tcW w:w="2096" w:type="dxa"/>
            <w:tcBorders>
              <w:top w:val="nil"/>
              <w:left w:val="single" w:sz="4" w:space="0" w:color="auto"/>
              <w:bottom w:val="single" w:sz="4" w:space="0" w:color="auto"/>
              <w:right w:val="single" w:sz="4" w:space="0" w:color="auto"/>
            </w:tcBorders>
            <w:shd w:val="clear" w:color="000000" w:fill="FFFFFF"/>
            <w:noWrap/>
            <w:vAlign w:val="bottom"/>
            <w:hideMark/>
          </w:tcPr>
          <w:p w14:paraId="341D8AE7" w14:textId="77777777" w:rsidR="008C0F4A" w:rsidRPr="008C0F4A" w:rsidRDefault="008C0F4A" w:rsidP="008C0F4A">
            <w:pPr>
              <w:jc w:val="right"/>
              <w:rPr>
                <w:rFonts w:cs="Arial"/>
                <w:sz w:val="22"/>
                <w:szCs w:val="22"/>
                <w:lang w:eastAsia="en-GB"/>
              </w:rPr>
            </w:pPr>
            <w:r w:rsidRPr="008C0F4A">
              <w:rPr>
                <w:rFonts w:cs="Arial"/>
                <w:sz w:val="22"/>
                <w:szCs w:val="22"/>
                <w:lang w:eastAsia="en-GB"/>
              </w:rPr>
              <w:t>0.00%</w:t>
            </w:r>
          </w:p>
        </w:tc>
        <w:tc>
          <w:tcPr>
            <w:tcW w:w="816" w:type="dxa"/>
            <w:tcBorders>
              <w:top w:val="nil"/>
              <w:left w:val="nil"/>
              <w:bottom w:val="nil"/>
              <w:right w:val="nil"/>
            </w:tcBorders>
            <w:shd w:val="clear" w:color="auto" w:fill="auto"/>
            <w:noWrap/>
            <w:vAlign w:val="bottom"/>
            <w:hideMark/>
          </w:tcPr>
          <w:p w14:paraId="6C667CFB" w14:textId="77777777" w:rsidR="008C0F4A" w:rsidRPr="008C0F4A" w:rsidRDefault="008C0F4A" w:rsidP="008C0F4A">
            <w:pPr>
              <w:jc w:val="center"/>
              <w:rPr>
                <w:rFonts w:cs="Arial"/>
                <w:sz w:val="22"/>
                <w:szCs w:val="22"/>
                <w:lang w:eastAsia="en-GB"/>
              </w:rPr>
            </w:pPr>
            <w:r w:rsidRPr="008C0F4A">
              <w:rPr>
                <w:rFonts w:cs="Arial"/>
                <w:sz w:val="22"/>
                <w:szCs w:val="22"/>
                <w:lang w:eastAsia="en-GB"/>
              </w:rPr>
              <w:t>c</w:t>
            </w:r>
          </w:p>
        </w:tc>
        <w:tc>
          <w:tcPr>
            <w:tcW w:w="1476" w:type="dxa"/>
            <w:gridSpan w:val="2"/>
            <w:tcBorders>
              <w:top w:val="nil"/>
              <w:left w:val="nil"/>
              <w:bottom w:val="nil"/>
              <w:right w:val="single" w:sz="8" w:space="0" w:color="auto"/>
            </w:tcBorders>
            <w:shd w:val="clear" w:color="auto" w:fill="auto"/>
            <w:noWrap/>
            <w:vAlign w:val="bottom"/>
            <w:hideMark/>
          </w:tcPr>
          <w:p w14:paraId="32D5AAD0"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425D358D"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7CC13E44" w14:textId="77777777" w:rsidR="008C0F4A" w:rsidRPr="008C0F4A" w:rsidRDefault="008C0F4A" w:rsidP="008C0F4A">
            <w:pPr>
              <w:rPr>
                <w:rFonts w:cs="Arial"/>
                <w:sz w:val="22"/>
                <w:szCs w:val="22"/>
                <w:lang w:eastAsia="en-GB"/>
              </w:rPr>
            </w:pPr>
            <w:r w:rsidRPr="008C0F4A">
              <w:rPr>
                <w:rFonts w:cs="Arial"/>
                <w:sz w:val="22"/>
                <w:szCs w:val="22"/>
                <w:lang w:eastAsia="en-GB"/>
              </w:rPr>
              <w:t>Assumed Small Business Rate Multiplier 2023/24</w:t>
            </w:r>
          </w:p>
        </w:tc>
        <w:tc>
          <w:tcPr>
            <w:tcW w:w="2096" w:type="dxa"/>
            <w:tcBorders>
              <w:top w:val="nil"/>
              <w:left w:val="nil"/>
              <w:bottom w:val="nil"/>
              <w:right w:val="nil"/>
            </w:tcBorders>
            <w:shd w:val="clear" w:color="000000" w:fill="BFBFBF"/>
            <w:noWrap/>
            <w:vAlign w:val="bottom"/>
            <w:hideMark/>
          </w:tcPr>
          <w:p w14:paraId="1C7EAA2C" w14:textId="77777777" w:rsidR="008C0F4A" w:rsidRPr="008C0F4A" w:rsidRDefault="008C0F4A" w:rsidP="008C0F4A">
            <w:pPr>
              <w:jc w:val="right"/>
              <w:rPr>
                <w:rFonts w:cs="Arial"/>
                <w:sz w:val="22"/>
                <w:szCs w:val="22"/>
                <w:lang w:eastAsia="en-GB"/>
              </w:rPr>
            </w:pPr>
            <w:r w:rsidRPr="008C0F4A">
              <w:rPr>
                <w:rFonts w:cs="Arial"/>
                <w:sz w:val="22"/>
                <w:szCs w:val="22"/>
                <w:lang w:eastAsia="en-GB"/>
              </w:rPr>
              <w:t>0.499</w:t>
            </w:r>
          </w:p>
        </w:tc>
        <w:tc>
          <w:tcPr>
            <w:tcW w:w="816" w:type="dxa"/>
            <w:tcBorders>
              <w:top w:val="nil"/>
              <w:left w:val="nil"/>
              <w:bottom w:val="nil"/>
              <w:right w:val="nil"/>
            </w:tcBorders>
            <w:shd w:val="clear" w:color="auto" w:fill="auto"/>
            <w:noWrap/>
            <w:vAlign w:val="bottom"/>
            <w:hideMark/>
          </w:tcPr>
          <w:p w14:paraId="42530A03" w14:textId="77777777" w:rsidR="008C0F4A" w:rsidRPr="008C0F4A" w:rsidRDefault="008C0F4A" w:rsidP="008C0F4A">
            <w:pPr>
              <w:jc w:val="center"/>
              <w:rPr>
                <w:rFonts w:cs="Arial"/>
                <w:sz w:val="22"/>
                <w:szCs w:val="22"/>
                <w:lang w:eastAsia="en-GB"/>
              </w:rPr>
            </w:pPr>
            <w:r w:rsidRPr="008C0F4A">
              <w:rPr>
                <w:rFonts w:cs="Arial"/>
                <w:sz w:val="22"/>
                <w:szCs w:val="22"/>
                <w:lang w:eastAsia="en-GB"/>
              </w:rPr>
              <w:t>d</w:t>
            </w:r>
          </w:p>
        </w:tc>
        <w:tc>
          <w:tcPr>
            <w:tcW w:w="1476" w:type="dxa"/>
            <w:gridSpan w:val="2"/>
            <w:tcBorders>
              <w:top w:val="nil"/>
              <w:left w:val="nil"/>
              <w:bottom w:val="nil"/>
              <w:right w:val="single" w:sz="8" w:space="0" w:color="auto"/>
            </w:tcBorders>
            <w:shd w:val="clear" w:color="auto" w:fill="auto"/>
            <w:noWrap/>
            <w:vAlign w:val="bottom"/>
            <w:hideMark/>
          </w:tcPr>
          <w:p w14:paraId="06B3FF7E" w14:textId="77777777" w:rsidR="008C0F4A" w:rsidRPr="008C0F4A" w:rsidRDefault="008C0F4A" w:rsidP="008C0F4A">
            <w:pPr>
              <w:jc w:val="right"/>
              <w:rPr>
                <w:rFonts w:cs="Arial"/>
                <w:sz w:val="22"/>
                <w:szCs w:val="22"/>
                <w:lang w:eastAsia="en-GB"/>
              </w:rPr>
            </w:pPr>
            <w:r w:rsidRPr="008C0F4A">
              <w:rPr>
                <w:rFonts w:cs="Arial"/>
                <w:sz w:val="22"/>
                <w:szCs w:val="22"/>
                <w:lang w:eastAsia="en-GB"/>
              </w:rPr>
              <w:t>b x c(+b)</w:t>
            </w:r>
          </w:p>
        </w:tc>
      </w:tr>
      <w:tr w:rsidR="008C0F4A" w:rsidRPr="008C0F4A" w14:paraId="10169FA0"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90"/>
        </w:trPr>
        <w:tc>
          <w:tcPr>
            <w:tcW w:w="5816" w:type="dxa"/>
            <w:gridSpan w:val="3"/>
            <w:tcBorders>
              <w:top w:val="nil"/>
              <w:left w:val="single" w:sz="8" w:space="0" w:color="auto"/>
              <w:bottom w:val="nil"/>
              <w:right w:val="nil"/>
            </w:tcBorders>
            <w:shd w:val="clear" w:color="000000" w:fill="00FFFF"/>
            <w:noWrap/>
            <w:vAlign w:val="bottom"/>
            <w:hideMark/>
          </w:tcPr>
          <w:p w14:paraId="0CDC4595" w14:textId="77777777" w:rsidR="008C0F4A" w:rsidRPr="008C0F4A" w:rsidRDefault="008C0F4A" w:rsidP="008C0F4A">
            <w:pPr>
              <w:rPr>
                <w:rFonts w:cs="Arial"/>
                <w:b/>
                <w:bCs/>
                <w:sz w:val="22"/>
                <w:szCs w:val="22"/>
                <w:lang w:eastAsia="en-GB"/>
              </w:rPr>
            </w:pPr>
            <w:r w:rsidRPr="008C0F4A">
              <w:rPr>
                <w:rFonts w:cs="Arial"/>
                <w:b/>
                <w:bCs/>
                <w:sz w:val="22"/>
                <w:szCs w:val="22"/>
                <w:lang w:eastAsia="en-GB"/>
              </w:rPr>
              <w:t>Notional gross yield figure</w:t>
            </w:r>
          </w:p>
        </w:tc>
        <w:tc>
          <w:tcPr>
            <w:tcW w:w="2096" w:type="dxa"/>
            <w:tcBorders>
              <w:top w:val="single" w:sz="4" w:space="0" w:color="auto"/>
              <w:left w:val="nil"/>
              <w:bottom w:val="single" w:sz="8" w:space="0" w:color="auto"/>
              <w:right w:val="nil"/>
            </w:tcBorders>
            <w:shd w:val="clear" w:color="000000" w:fill="00FFFF"/>
            <w:noWrap/>
            <w:vAlign w:val="bottom"/>
            <w:hideMark/>
          </w:tcPr>
          <w:p w14:paraId="7966130F" w14:textId="77777777" w:rsidR="008C0F4A" w:rsidRPr="008C0F4A" w:rsidRDefault="008C0F4A" w:rsidP="008C0F4A">
            <w:pPr>
              <w:jc w:val="right"/>
              <w:rPr>
                <w:rFonts w:cs="Arial"/>
                <w:b/>
                <w:bCs/>
                <w:sz w:val="22"/>
                <w:szCs w:val="22"/>
                <w:lang w:eastAsia="en-GB"/>
              </w:rPr>
            </w:pPr>
            <w:r w:rsidRPr="008C0F4A">
              <w:rPr>
                <w:rFonts w:cs="Arial"/>
                <w:b/>
                <w:bCs/>
                <w:sz w:val="22"/>
                <w:szCs w:val="22"/>
                <w:lang w:eastAsia="en-GB"/>
              </w:rPr>
              <w:t>72,712,136</w:t>
            </w:r>
          </w:p>
        </w:tc>
        <w:tc>
          <w:tcPr>
            <w:tcW w:w="816" w:type="dxa"/>
            <w:tcBorders>
              <w:top w:val="nil"/>
              <w:left w:val="nil"/>
              <w:bottom w:val="nil"/>
              <w:right w:val="nil"/>
            </w:tcBorders>
            <w:shd w:val="clear" w:color="000000" w:fill="00FFFF"/>
            <w:noWrap/>
            <w:vAlign w:val="bottom"/>
            <w:hideMark/>
          </w:tcPr>
          <w:p w14:paraId="5BF60D8D" w14:textId="77777777" w:rsidR="008C0F4A" w:rsidRPr="008C0F4A" w:rsidRDefault="008C0F4A" w:rsidP="008C0F4A">
            <w:pPr>
              <w:jc w:val="center"/>
              <w:rPr>
                <w:rFonts w:cs="Arial"/>
                <w:sz w:val="22"/>
                <w:szCs w:val="22"/>
                <w:lang w:eastAsia="en-GB"/>
              </w:rPr>
            </w:pPr>
            <w:r w:rsidRPr="008C0F4A">
              <w:rPr>
                <w:rFonts w:cs="Arial"/>
                <w:sz w:val="22"/>
                <w:szCs w:val="22"/>
                <w:lang w:eastAsia="en-GB"/>
              </w:rPr>
              <w:t>e</w:t>
            </w:r>
          </w:p>
        </w:tc>
        <w:tc>
          <w:tcPr>
            <w:tcW w:w="1476" w:type="dxa"/>
            <w:gridSpan w:val="2"/>
            <w:tcBorders>
              <w:top w:val="nil"/>
              <w:left w:val="nil"/>
              <w:bottom w:val="nil"/>
              <w:right w:val="single" w:sz="8" w:space="0" w:color="auto"/>
            </w:tcBorders>
            <w:shd w:val="clear" w:color="000000" w:fill="00FFFF"/>
            <w:noWrap/>
            <w:vAlign w:val="bottom"/>
            <w:hideMark/>
          </w:tcPr>
          <w:p w14:paraId="0972B1AB" w14:textId="77777777" w:rsidR="008C0F4A" w:rsidRPr="008C0F4A" w:rsidRDefault="008C0F4A" w:rsidP="008C0F4A">
            <w:pPr>
              <w:jc w:val="right"/>
              <w:rPr>
                <w:rFonts w:cs="Arial"/>
                <w:sz w:val="22"/>
                <w:szCs w:val="22"/>
                <w:lang w:eastAsia="en-GB"/>
              </w:rPr>
            </w:pPr>
            <w:r w:rsidRPr="008C0F4A">
              <w:rPr>
                <w:rFonts w:cs="Arial"/>
                <w:sz w:val="22"/>
                <w:szCs w:val="22"/>
                <w:lang w:eastAsia="en-GB"/>
              </w:rPr>
              <w:t>a x d</w:t>
            </w:r>
          </w:p>
        </w:tc>
      </w:tr>
      <w:tr w:rsidR="008C0F4A" w:rsidRPr="008C0F4A" w14:paraId="340B98DE"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4EF680EF" w14:textId="77777777" w:rsidR="008C0F4A" w:rsidRPr="008C0F4A" w:rsidRDefault="008C0F4A" w:rsidP="008C0F4A">
            <w:pPr>
              <w:rPr>
                <w:rFonts w:cs="Arial"/>
                <w:b/>
                <w:bCs/>
                <w:sz w:val="22"/>
                <w:szCs w:val="22"/>
                <w:lang w:eastAsia="en-GB"/>
              </w:rPr>
            </w:pPr>
            <w:r w:rsidRPr="008C0F4A">
              <w:rPr>
                <w:rFonts w:cs="Arial"/>
                <w:b/>
                <w:bCs/>
                <w:sz w:val="22"/>
                <w:szCs w:val="22"/>
                <w:lang w:eastAsia="en-GB"/>
              </w:rPr>
              <w:t>Less In year RV fluctuations -  1.00%</w:t>
            </w:r>
          </w:p>
        </w:tc>
        <w:tc>
          <w:tcPr>
            <w:tcW w:w="2096" w:type="dxa"/>
            <w:tcBorders>
              <w:top w:val="nil"/>
              <w:left w:val="nil"/>
              <w:bottom w:val="nil"/>
              <w:right w:val="nil"/>
            </w:tcBorders>
            <w:shd w:val="clear" w:color="000000" w:fill="FFFFFF"/>
            <w:noWrap/>
            <w:vAlign w:val="bottom"/>
            <w:hideMark/>
          </w:tcPr>
          <w:p w14:paraId="61BD396C" w14:textId="77777777" w:rsidR="008C0F4A" w:rsidRPr="008C0F4A" w:rsidRDefault="008C0F4A" w:rsidP="008C0F4A">
            <w:pPr>
              <w:jc w:val="right"/>
              <w:rPr>
                <w:rFonts w:cs="Arial"/>
                <w:b/>
                <w:bCs/>
                <w:sz w:val="22"/>
                <w:szCs w:val="22"/>
                <w:lang w:eastAsia="en-GB"/>
              </w:rPr>
            </w:pPr>
            <w:r w:rsidRPr="008C0F4A">
              <w:rPr>
                <w:rFonts w:cs="Arial"/>
                <w:b/>
                <w:bCs/>
                <w:sz w:val="22"/>
                <w:szCs w:val="22"/>
                <w:lang w:eastAsia="en-GB"/>
              </w:rPr>
              <w:t>0</w:t>
            </w:r>
          </w:p>
        </w:tc>
        <w:tc>
          <w:tcPr>
            <w:tcW w:w="816" w:type="dxa"/>
            <w:tcBorders>
              <w:top w:val="nil"/>
              <w:left w:val="nil"/>
              <w:bottom w:val="nil"/>
              <w:right w:val="nil"/>
            </w:tcBorders>
            <w:shd w:val="clear" w:color="000000" w:fill="FFFFFF"/>
            <w:noWrap/>
            <w:vAlign w:val="bottom"/>
            <w:hideMark/>
          </w:tcPr>
          <w:p w14:paraId="3350D3F4" w14:textId="77777777" w:rsidR="008C0F4A" w:rsidRPr="008C0F4A" w:rsidRDefault="008C0F4A" w:rsidP="008C0F4A">
            <w:pPr>
              <w:jc w:val="center"/>
              <w:rPr>
                <w:rFonts w:cs="Arial"/>
                <w:sz w:val="22"/>
                <w:szCs w:val="22"/>
                <w:lang w:eastAsia="en-GB"/>
              </w:rPr>
            </w:pPr>
            <w:r w:rsidRPr="008C0F4A">
              <w:rPr>
                <w:rFonts w:cs="Arial"/>
                <w:sz w:val="22"/>
                <w:szCs w:val="22"/>
                <w:lang w:eastAsia="en-GB"/>
              </w:rPr>
              <w:t> </w:t>
            </w:r>
          </w:p>
        </w:tc>
        <w:tc>
          <w:tcPr>
            <w:tcW w:w="1476" w:type="dxa"/>
            <w:gridSpan w:val="2"/>
            <w:tcBorders>
              <w:top w:val="nil"/>
              <w:left w:val="nil"/>
              <w:bottom w:val="nil"/>
              <w:right w:val="single" w:sz="8" w:space="0" w:color="auto"/>
            </w:tcBorders>
            <w:shd w:val="clear" w:color="000000" w:fill="FFFFFF"/>
            <w:noWrap/>
            <w:vAlign w:val="bottom"/>
            <w:hideMark/>
          </w:tcPr>
          <w:p w14:paraId="3EE00AD0"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2C98DF83"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90"/>
        </w:trPr>
        <w:tc>
          <w:tcPr>
            <w:tcW w:w="5816" w:type="dxa"/>
            <w:gridSpan w:val="3"/>
            <w:tcBorders>
              <w:top w:val="nil"/>
              <w:left w:val="single" w:sz="8" w:space="0" w:color="auto"/>
              <w:bottom w:val="nil"/>
              <w:right w:val="nil"/>
            </w:tcBorders>
            <w:shd w:val="clear" w:color="000000" w:fill="00FFFF"/>
            <w:noWrap/>
            <w:vAlign w:val="bottom"/>
            <w:hideMark/>
          </w:tcPr>
          <w:p w14:paraId="3BF4452E" w14:textId="77777777" w:rsidR="008C0F4A" w:rsidRPr="008C0F4A" w:rsidRDefault="008C0F4A" w:rsidP="008C0F4A">
            <w:pPr>
              <w:rPr>
                <w:rFonts w:cs="Arial"/>
                <w:b/>
                <w:bCs/>
                <w:sz w:val="22"/>
                <w:szCs w:val="22"/>
                <w:lang w:eastAsia="en-GB"/>
              </w:rPr>
            </w:pPr>
            <w:r w:rsidRPr="008C0F4A">
              <w:rPr>
                <w:rFonts w:cs="Arial"/>
                <w:b/>
                <w:bCs/>
                <w:sz w:val="22"/>
                <w:szCs w:val="22"/>
                <w:lang w:eastAsia="en-GB"/>
              </w:rPr>
              <w:t>Expected Notional gross yield figure</w:t>
            </w:r>
          </w:p>
        </w:tc>
        <w:tc>
          <w:tcPr>
            <w:tcW w:w="2096" w:type="dxa"/>
            <w:tcBorders>
              <w:top w:val="single" w:sz="4" w:space="0" w:color="auto"/>
              <w:left w:val="nil"/>
              <w:bottom w:val="single" w:sz="8" w:space="0" w:color="auto"/>
              <w:right w:val="nil"/>
            </w:tcBorders>
            <w:shd w:val="clear" w:color="000000" w:fill="00FFFF"/>
            <w:noWrap/>
            <w:vAlign w:val="bottom"/>
            <w:hideMark/>
          </w:tcPr>
          <w:p w14:paraId="250EC8F5" w14:textId="77777777" w:rsidR="008C0F4A" w:rsidRPr="008C0F4A" w:rsidRDefault="008C0F4A" w:rsidP="008C0F4A">
            <w:pPr>
              <w:jc w:val="right"/>
              <w:rPr>
                <w:rFonts w:cs="Arial"/>
                <w:b/>
                <w:bCs/>
                <w:sz w:val="22"/>
                <w:szCs w:val="22"/>
                <w:lang w:eastAsia="en-GB"/>
              </w:rPr>
            </w:pPr>
            <w:r w:rsidRPr="008C0F4A">
              <w:rPr>
                <w:rFonts w:cs="Arial"/>
                <w:b/>
                <w:bCs/>
                <w:sz w:val="22"/>
                <w:szCs w:val="22"/>
                <w:lang w:eastAsia="en-GB"/>
              </w:rPr>
              <w:t>72,712,136</w:t>
            </w:r>
          </w:p>
        </w:tc>
        <w:tc>
          <w:tcPr>
            <w:tcW w:w="816" w:type="dxa"/>
            <w:tcBorders>
              <w:top w:val="nil"/>
              <w:left w:val="nil"/>
              <w:bottom w:val="nil"/>
              <w:right w:val="nil"/>
            </w:tcBorders>
            <w:shd w:val="clear" w:color="000000" w:fill="00FFFF"/>
            <w:noWrap/>
            <w:vAlign w:val="bottom"/>
            <w:hideMark/>
          </w:tcPr>
          <w:p w14:paraId="43403146" w14:textId="77777777" w:rsidR="008C0F4A" w:rsidRPr="008C0F4A" w:rsidRDefault="008C0F4A" w:rsidP="008C0F4A">
            <w:pPr>
              <w:jc w:val="center"/>
              <w:rPr>
                <w:rFonts w:cs="Arial"/>
                <w:sz w:val="22"/>
                <w:szCs w:val="22"/>
                <w:lang w:eastAsia="en-GB"/>
              </w:rPr>
            </w:pPr>
            <w:r w:rsidRPr="008C0F4A">
              <w:rPr>
                <w:rFonts w:cs="Arial"/>
                <w:sz w:val="22"/>
                <w:szCs w:val="22"/>
                <w:lang w:eastAsia="en-GB"/>
              </w:rPr>
              <w:t>e</w:t>
            </w:r>
          </w:p>
        </w:tc>
        <w:tc>
          <w:tcPr>
            <w:tcW w:w="1476" w:type="dxa"/>
            <w:gridSpan w:val="2"/>
            <w:tcBorders>
              <w:top w:val="nil"/>
              <w:left w:val="nil"/>
              <w:bottom w:val="nil"/>
              <w:right w:val="single" w:sz="8" w:space="0" w:color="auto"/>
            </w:tcBorders>
            <w:shd w:val="clear" w:color="000000" w:fill="00FFFF"/>
            <w:noWrap/>
            <w:vAlign w:val="bottom"/>
            <w:hideMark/>
          </w:tcPr>
          <w:p w14:paraId="10AF3535" w14:textId="77777777" w:rsidR="008C0F4A" w:rsidRPr="008C0F4A" w:rsidRDefault="008C0F4A" w:rsidP="008C0F4A">
            <w:pPr>
              <w:jc w:val="right"/>
              <w:rPr>
                <w:rFonts w:cs="Arial"/>
                <w:sz w:val="22"/>
                <w:szCs w:val="22"/>
                <w:lang w:eastAsia="en-GB"/>
              </w:rPr>
            </w:pPr>
            <w:r w:rsidRPr="008C0F4A">
              <w:rPr>
                <w:rFonts w:cs="Arial"/>
                <w:sz w:val="22"/>
                <w:szCs w:val="22"/>
                <w:lang w:eastAsia="en-GB"/>
              </w:rPr>
              <w:t xml:space="preserve"> </w:t>
            </w:r>
          </w:p>
        </w:tc>
      </w:tr>
      <w:tr w:rsidR="008C0F4A" w:rsidRPr="008C0F4A" w14:paraId="731D19AB"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7FC37356" w14:textId="77777777" w:rsidR="008C0F4A" w:rsidRPr="008C0F4A" w:rsidRDefault="008C0F4A" w:rsidP="008C0F4A">
            <w:pPr>
              <w:rPr>
                <w:rFonts w:cs="Arial"/>
                <w:b/>
                <w:bCs/>
                <w:sz w:val="22"/>
                <w:szCs w:val="22"/>
                <w:lang w:eastAsia="en-GB"/>
              </w:rPr>
            </w:pPr>
            <w:r w:rsidRPr="008C0F4A">
              <w:rPr>
                <w:rFonts w:cs="Arial"/>
                <w:b/>
                <w:bCs/>
                <w:sz w:val="22"/>
                <w:szCs w:val="22"/>
                <w:lang w:eastAsia="en-GB"/>
              </w:rPr>
              <w:t> </w:t>
            </w:r>
          </w:p>
        </w:tc>
        <w:tc>
          <w:tcPr>
            <w:tcW w:w="2096" w:type="dxa"/>
            <w:tcBorders>
              <w:top w:val="nil"/>
              <w:left w:val="nil"/>
              <w:bottom w:val="nil"/>
              <w:right w:val="nil"/>
            </w:tcBorders>
            <w:shd w:val="clear" w:color="000000" w:fill="FFFFFF"/>
            <w:noWrap/>
            <w:vAlign w:val="bottom"/>
            <w:hideMark/>
          </w:tcPr>
          <w:p w14:paraId="082CA6C7" w14:textId="77777777" w:rsidR="008C0F4A" w:rsidRPr="008C0F4A" w:rsidRDefault="008C0F4A" w:rsidP="008C0F4A">
            <w:pPr>
              <w:rPr>
                <w:rFonts w:cs="Arial"/>
                <w:b/>
                <w:bCs/>
                <w:sz w:val="22"/>
                <w:szCs w:val="22"/>
                <w:lang w:eastAsia="en-GB"/>
              </w:rPr>
            </w:pPr>
            <w:r w:rsidRPr="008C0F4A">
              <w:rPr>
                <w:rFonts w:cs="Arial"/>
                <w:b/>
                <w:bCs/>
                <w:sz w:val="22"/>
                <w:szCs w:val="22"/>
                <w:lang w:eastAsia="en-GB"/>
              </w:rPr>
              <w:t> </w:t>
            </w:r>
          </w:p>
        </w:tc>
        <w:tc>
          <w:tcPr>
            <w:tcW w:w="816" w:type="dxa"/>
            <w:tcBorders>
              <w:top w:val="nil"/>
              <w:left w:val="nil"/>
              <w:bottom w:val="nil"/>
              <w:right w:val="nil"/>
            </w:tcBorders>
            <w:shd w:val="clear" w:color="000000" w:fill="FFFFFF"/>
            <w:noWrap/>
            <w:vAlign w:val="bottom"/>
            <w:hideMark/>
          </w:tcPr>
          <w:p w14:paraId="3406CF93" w14:textId="77777777" w:rsidR="008C0F4A" w:rsidRPr="008C0F4A" w:rsidRDefault="008C0F4A" w:rsidP="008C0F4A">
            <w:pPr>
              <w:jc w:val="center"/>
              <w:rPr>
                <w:rFonts w:cs="Arial"/>
                <w:sz w:val="22"/>
                <w:szCs w:val="22"/>
                <w:lang w:eastAsia="en-GB"/>
              </w:rPr>
            </w:pPr>
            <w:r w:rsidRPr="008C0F4A">
              <w:rPr>
                <w:rFonts w:cs="Arial"/>
                <w:sz w:val="22"/>
                <w:szCs w:val="22"/>
                <w:lang w:eastAsia="en-GB"/>
              </w:rPr>
              <w:t> </w:t>
            </w:r>
          </w:p>
        </w:tc>
        <w:tc>
          <w:tcPr>
            <w:tcW w:w="1476" w:type="dxa"/>
            <w:gridSpan w:val="2"/>
            <w:tcBorders>
              <w:top w:val="nil"/>
              <w:left w:val="nil"/>
              <w:bottom w:val="nil"/>
              <w:right w:val="single" w:sz="8" w:space="0" w:color="auto"/>
            </w:tcBorders>
            <w:shd w:val="clear" w:color="000000" w:fill="FFFFFF"/>
            <w:noWrap/>
            <w:vAlign w:val="bottom"/>
            <w:hideMark/>
          </w:tcPr>
          <w:p w14:paraId="0456057C"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3DEB83DF"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3E6EBB18" w14:textId="77777777" w:rsidR="008C0F4A" w:rsidRPr="008C0F4A" w:rsidRDefault="008C0F4A" w:rsidP="008C0F4A">
            <w:pPr>
              <w:rPr>
                <w:rFonts w:cs="Arial"/>
                <w:b/>
                <w:bCs/>
                <w:sz w:val="22"/>
                <w:szCs w:val="22"/>
                <w:lang w:eastAsia="en-GB"/>
              </w:rPr>
            </w:pPr>
            <w:r w:rsidRPr="008C0F4A">
              <w:rPr>
                <w:rFonts w:cs="Arial"/>
                <w:b/>
                <w:bCs/>
                <w:sz w:val="22"/>
                <w:szCs w:val="22"/>
                <w:lang w:eastAsia="en-GB"/>
              </w:rPr>
              <w:t xml:space="preserve">Losses due to Small business rate relief </w:t>
            </w:r>
          </w:p>
        </w:tc>
        <w:tc>
          <w:tcPr>
            <w:tcW w:w="2096" w:type="dxa"/>
            <w:tcBorders>
              <w:top w:val="nil"/>
              <w:left w:val="nil"/>
              <w:bottom w:val="nil"/>
              <w:right w:val="nil"/>
            </w:tcBorders>
            <w:shd w:val="clear" w:color="000000" w:fill="FFFF00"/>
            <w:noWrap/>
            <w:vAlign w:val="bottom"/>
            <w:hideMark/>
          </w:tcPr>
          <w:p w14:paraId="390C58DE" w14:textId="77777777" w:rsidR="008C0F4A" w:rsidRPr="008C0F4A" w:rsidRDefault="008C0F4A" w:rsidP="008C0F4A">
            <w:pPr>
              <w:jc w:val="right"/>
              <w:rPr>
                <w:rFonts w:cs="Arial"/>
                <w:sz w:val="22"/>
                <w:szCs w:val="22"/>
                <w:lang w:eastAsia="en-GB"/>
              </w:rPr>
            </w:pPr>
            <w:r w:rsidRPr="008C0F4A">
              <w:rPr>
                <w:rFonts w:cs="Arial"/>
                <w:sz w:val="22"/>
                <w:szCs w:val="22"/>
                <w:lang w:eastAsia="en-GB"/>
              </w:rPr>
              <w:t>7,196,368</w:t>
            </w:r>
          </w:p>
        </w:tc>
        <w:tc>
          <w:tcPr>
            <w:tcW w:w="816" w:type="dxa"/>
            <w:tcBorders>
              <w:top w:val="nil"/>
              <w:left w:val="nil"/>
              <w:bottom w:val="nil"/>
              <w:right w:val="nil"/>
            </w:tcBorders>
            <w:shd w:val="clear" w:color="auto" w:fill="auto"/>
            <w:noWrap/>
            <w:vAlign w:val="bottom"/>
            <w:hideMark/>
          </w:tcPr>
          <w:p w14:paraId="29BA0BA0" w14:textId="77777777" w:rsidR="008C0F4A" w:rsidRPr="008C0F4A" w:rsidRDefault="008C0F4A" w:rsidP="008C0F4A">
            <w:pPr>
              <w:jc w:val="center"/>
              <w:rPr>
                <w:rFonts w:cs="Arial"/>
                <w:sz w:val="22"/>
                <w:szCs w:val="22"/>
                <w:lang w:eastAsia="en-GB"/>
              </w:rPr>
            </w:pPr>
            <w:r w:rsidRPr="008C0F4A">
              <w:rPr>
                <w:rFonts w:cs="Arial"/>
                <w:sz w:val="22"/>
                <w:szCs w:val="22"/>
                <w:lang w:eastAsia="en-GB"/>
              </w:rPr>
              <w:t>f</w:t>
            </w:r>
          </w:p>
        </w:tc>
        <w:tc>
          <w:tcPr>
            <w:tcW w:w="1476" w:type="dxa"/>
            <w:gridSpan w:val="2"/>
            <w:tcBorders>
              <w:top w:val="nil"/>
              <w:left w:val="nil"/>
              <w:bottom w:val="nil"/>
              <w:right w:val="single" w:sz="8" w:space="0" w:color="auto"/>
            </w:tcBorders>
            <w:shd w:val="clear" w:color="auto" w:fill="auto"/>
            <w:noWrap/>
            <w:vAlign w:val="bottom"/>
            <w:hideMark/>
          </w:tcPr>
          <w:p w14:paraId="615CBDD5"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72C3A6CF"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0F2EE6A5" w14:textId="77777777" w:rsidR="008C0F4A" w:rsidRPr="008C0F4A" w:rsidRDefault="008C0F4A" w:rsidP="008C0F4A">
            <w:pPr>
              <w:rPr>
                <w:rFonts w:cs="Arial"/>
                <w:sz w:val="22"/>
                <w:szCs w:val="22"/>
                <w:lang w:eastAsia="en-GB"/>
              </w:rPr>
            </w:pPr>
            <w:r w:rsidRPr="008C0F4A">
              <w:rPr>
                <w:rFonts w:cs="Arial"/>
                <w:sz w:val="22"/>
                <w:szCs w:val="22"/>
                <w:lang w:eastAsia="en-GB"/>
              </w:rPr>
              <w:t xml:space="preserve">Change in notional gross yield </w:t>
            </w:r>
          </w:p>
        </w:tc>
        <w:tc>
          <w:tcPr>
            <w:tcW w:w="2096" w:type="dxa"/>
            <w:tcBorders>
              <w:top w:val="nil"/>
              <w:left w:val="nil"/>
              <w:bottom w:val="nil"/>
              <w:right w:val="nil"/>
            </w:tcBorders>
            <w:shd w:val="clear" w:color="000000" w:fill="FFFFFF"/>
            <w:noWrap/>
            <w:vAlign w:val="bottom"/>
            <w:hideMark/>
          </w:tcPr>
          <w:p w14:paraId="1552F93F" w14:textId="77777777" w:rsidR="008C0F4A" w:rsidRPr="008C0F4A" w:rsidRDefault="008C0F4A" w:rsidP="008C0F4A">
            <w:pPr>
              <w:jc w:val="right"/>
              <w:rPr>
                <w:rFonts w:cs="Arial"/>
                <w:sz w:val="22"/>
                <w:szCs w:val="22"/>
                <w:lang w:eastAsia="en-GB"/>
              </w:rPr>
            </w:pPr>
            <w:r w:rsidRPr="008C0F4A">
              <w:rPr>
                <w:rFonts w:cs="Arial"/>
                <w:sz w:val="22"/>
                <w:szCs w:val="22"/>
                <w:lang w:eastAsia="en-GB"/>
              </w:rPr>
              <w:t>0.00%</w:t>
            </w:r>
          </w:p>
        </w:tc>
        <w:tc>
          <w:tcPr>
            <w:tcW w:w="816" w:type="dxa"/>
            <w:tcBorders>
              <w:top w:val="nil"/>
              <w:left w:val="nil"/>
              <w:bottom w:val="nil"/>
              <w:right w:val="nil"/>
            </w:tcBorders>
            <w:shd w:val="clear" w:color="auto" w:fill="auto"/>
            <w:noWrap/>
            <w:vAlign w:val="bottom"/>
            <w:hideMark/>
          </w:tcPr>
          <w:p w14:paraId="2B30AD4C" w14:textId="77777777" w:rsidR="008C0F4A" w:rsidRPr="008C0F4A" w:rsidRDefault="008C0F4A" w:rsidP="008C0F4A">
            <w:pPr>
              <w:jc w:val="center"/>
              <w:rPr>
                <w:rFonts w:cs="Arial"/>
                <w:sz w:val="22"/>
                <w:szCs w:val="22"/>
                <w:lang w:eastAsia="en-GB"/>
              </w:rPr>
            </w:pPr>
            <w:r w:rsidRPr="008C0F4A">
              <w:rPr>
                <w:rFonts w:cs="Arial"/>
                <w:sz w:val="22"/>
                <w:szCs w:val="22"/>
                <w:lang w:eastAsia="en-GB"/>
              </w:rPr>
              <w:t>g</w:t>
            </w:r>
          </w:p>
        </w:tc>
        <w:tc>
          <w:tcPr>
            <w:tcW w:w="1476" w:type="dxa"/>
            <w:gridSpan w:val="2"/>
            <w:tcBorders>
              <w:top w:val="nil"/>
              <w:left w:val="nil"/>
              <w:bottom w:val="nil"/>
              <w:right w:val="single" w:sz="8" w:space="0" w:color="auto"/>
            </w:tcBorders>
            <w:shd w:val="clear" w:color="auto" w:fill="auto"/>
            <w:noWrap/>
            <w:vAlign w:val="bottom"/>
            <w:hideMark/>
          </w:tcPr>
          <w:p w14:paraId="0574F40F"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7CA2C2FB"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C0C0C0"/>
            <w:noWrap/>
            <w:vAlign w:val="bottom"/>
            <w:hideMark/>
          </w:tcPr>
          <w:p w14:paraId="56E3385A" w14:textId="77777777" w:rsidR="008C0F4A" w:rsidRPr="008C0F4A" w:rsidRDefault="008C0F4A" w:rsidP="008C0F4A">
            <w:pPr>
              <w:rPr>
                <w:rFonts w:cs="Arial"/>
                <w:sz w:val="22"/>
                <w:szCs w:val="22"/>
                <w:lang w:eastAsia="en-GB"/>
              </w:rPr>
            </w:pPr>
            <w:r w:rsidRPr="008C0F4A">
              <w:rPr>
                <w:rFonts w:cs="Arial"/>
                <w:sz w:val="22"/>
                <w:szCs w:val="22"/>
                <w:lang w:eastAsia="en-GB"/>
              </w:rPr>
              <w:lastRenderedPageBreak/>
              <w:t>Projected small business rate relief 2023/24</w:t>
            </w:r>
          </w:p>
        </w:tc>
        <w:tc>
          <w:tcPr>
            <w:tcW w:w="2096" w:type="dxa"/>
            <w:tcBorders>
              <w:top w:val="nil"/>
              <w:left w:val="nil"/>
              <w:bottom w:val="nil"/>
              <w:right w:val="nil"/>
            </w:tcBorders>
            <w:shd w:val="clear" w:color="000000" w:fill="BFBFBF"/>
            <w:noWrap/>
            <w:vAlign w:val="bottom"/>
            <w:hideMark/>
          </w:tcPr>
          <w:p w14:paraId="65F5B6ED" w14:textId="77777777" w:rsidR="008C0F4A" w:rsidRPr="008C0F4A" w:rsidRDefault="008C0F4A" w:rsidP="008C0F4A">
            <w:pPr>
              <w:jc w:val="right"/>
              <w:rPr>
                <w:rFonts w:cs="Arial"/>
                <w:sz w:val="22"/>
                <w:szCs w:val="22"/>
                <w:lang w:eastAsia="en-GB"/>
              </w:rPr>
            </w:pPr>
            <w:r w:rsidRPr="008C0F4A">
              <w:rPr>
                <w:rFonts w:cs="Arial"/>
                <w:sz w:val="22"/>
                <w:szCs w:val="22"/>
                <w:lang w:eastAsia="en-GB"/>
              </w:rPr>
              <w:t>7,196,368</w:t>
            </w:r>
          </w:p>
        </w:tc>
        <w:tc>
          <w:tcPr>
            <w:tcW w:w="816" w:type="dxa"/>
            <w:tcBorders>
              <w:top w:val="nil"/>
              <w:left w:val="nil"/>
              <w:bottom w:val="nil"/>
              <w:right w:val="nil"/>
            </w:tcBorders>
            <w:shd w:val="clear" w:color="000000" w:fill="C0C0C0"/>
            <w:noWrap/>
            <w:vAlign w:val="bottom"/>
            <w:hideMark/>
          </w:tcPr>
          <w:p w14:paraId="1E7780F6" w14:textId="77777777" w:rsidR="008C0F4A" w:rsidRPr="008C0F4A" w:rsidRDefault="008C0F4A" w:rsidP="008C0F4A">
            <w:pPr>
              <w:jc w:val="center"/>
              <w:rPr>
                <w:rFonts w:cs="Arial"/>
                <w:sz w:val="22"/>
                <w:szCs w:val="22"/>
                <w:lang w:eastAsia="en-GB"/>
              </w:rPr>
            </w:pPr>
            <w:r w:rsidRPr="008C0F4A">
              <w:rPr>
                <w:rFonts w:cs="Arial"/>
                <w:sz w:val="22"/>
                <w:szCs w:val="22"/>
                <w:lang w:eastAsia="en-GB"/>
              </w:rPr>
              <w:t>h</w:t>
            </w:r>
          </w:p>
        </w:tc>
        <w:tc>
          <w:tcPr>
            <w:tcW w:w="1476" w:type="dxa"/>
            <w:gridSpan w:val="2"/>
            <w:tcBorders>
              <w:top w:val="nil"/>
              <w:left w:val="nil"/>
              <w:bottom w:val="nil"/>
              <w:right w:val="single" w:sz="8" w:space="0" w:color="auto"/>
            </w:tcBorders>
            <w:shd w:val="clear" w:color="000000" w:fill="C0C0C0"/>
            <w:noWrap/>
            <w:vAlign w:val="bottom"/>
            <w:hideMark/>
          </w:tcPr>
          <w:p w14:paraId="699B0F31" w14:textId="77777777" w:rsidR="008C0F4A" w:rsidRPr="008C0F4A" w:rsidRDefault="008C0F4A" w:rsidP="008C0F4A">
            <w:pPr>
              <w:jc w:val="right"/>
              <w:rPr>
                <w:rFonts w:cs="Arial"/>
                <w:sz w:val="22"/>
                <w:szCs w:val="22"/>
                <w:lang w:eastAsia="en-GB"/>
              </w:rPr>
            </w:pPr>
            <w:r w:rsidRPr="008C0F4A">
              <w:rPr>
                <w:rFonts w:cs="Arial"/>
                <w:sz w:val="22"/>
                <w:szCs w:val="22"/>
                <w:lang w:eastAsia="en-GB"/>
              </w:rPr>
              <w:t>f x g</w:t>
            </w:r>
          </w:p>
        </w:tc>
      </w:tr>
      <w:tr w:rsidR="008C0F4A" w:rsidRPr="008C0F4A" w14:paraId="4962FA38"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0B1F24E0"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2096" w:type="dxa"/>
            <w:tcBorders>
              <w:top w:val="nil"/>
              <w:left w:val="nil"/>
              <w:bottom w:val="nil"/>
              <w:right w:val="nil"/>
            </w:tcBorders>
            <w:shd w:val="clear" w:color="000000" w:fill="FFFFFF"/>
            <w:noWrap/>
            <w:vAlign w:val="bottom"/>
            <w:hideMark/>
          </w:tcPr>
          <w:p w14:paraId="44D66B6F"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816" w:type="dxa"/>
            <w:tcBorders>
              <w:top w:val="nil"/>
              <w:left w:val="nil"/>
              <w:bottom w:val="nil"/>
              <w:right w:val="nil"/>
            </w:tcBorders>
            <w:shd w:val="clear" w:color="000000" w:fill="FFFFFF"/>
            <w:noWrap/>
            <w:vAlign w:val="bottom"/>
            <w:hideMark/>
          </w:tcPr>
          <w:p w14:paraId="70E454CB" w14:textId="77777777" w:rsidR="008C0F4A" w:rsidRPr="008C0F4A" w:rsidRDefault="008C0F4A" w:rsidP="008C0F4A">
            <w:pPr>
              <w:jc w:val="center"/>
              <w:rPr>
                <w:rFonts w:cs="Arial"/>
                <w:sz w:val="22"/>
                <w:szCs w:val="22"/>
                <w:lang w:eastAsia="en-GB"/>
              </w:rPr>
            </w:pPr>
            <w:r w:rsidRPr="008C0F4A">
              <w:rPr>
                <w:rFonts w:cs="Arial"/>
                <w:sz w:val="22"/>
                <w:szCs w:val="22"/>
                <w:lang w:eastAsia="en-GB"/>
              </w:rPr>
              <w:t> </w:t>
            </w:r>
          </w:p>
        </w:tc>
        <w:tc>
          <w:tcPr>
            <w:tcW w:w="1476" w:type="dxa"/>
            <w:gridSpan w:val="2"/>
            <w:tcBorders>
              <w:top w:val="nil"/>
              <w:left w:val="nil"/>
              <w:bottom w:val="nil"/>
              <w:right w:val="single" w:sz="8" w:space="0" w:color="auto"/>
            </w:tcBorders>
            <w:shd w:val="clear" w:color="000000" w:fill="FFFFFF"/>
            <w:noWrap/>
            <w:vAlign w:val="bottom"/>
            <w:hideMark/>
          </w:tcPr>
          <w:p w14:paraId="0295D6ED"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11107854"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7526120E" w14:textId="77777777" w:rsidR="008C0F4A" w:rsidRPr="008C0F4A" w:rsidRDefault="008C0F4A" w:rsidP="008C0F4A">
            <w:pPr>
              <w:rPr>
                <w:rFonts w:cs="Arial"/>
                <w:b/>
                <w:bCs/>
                <w:sz w:val="22"/>
                <w:szCs w:val="22"/>
                <w:lang w:eastAsia="en-GB"/>
              </w:rPr>
            </w:pPr>
            <w:r w:rsidRPr="008C0F4A">
              <w:rPr>
                <w:rFonts w:cs="Arial"/>
                <w:b/>
                <w:bCs/>
                <w:sz w:val="22"/>
                <w:szCs w:val="22"/>
                <w:lang w:eastAsia="en-GB"/>
              </w:rPr>
              <w:t>Losses due to Empty property exemptions</w:t>
            </w:r>
          </w:p>
        </w:tc>
        <w:tc>
          <w:tcPr>
            <w:tcW w:w="2096" w:type="dxa"/>
            <w:tcBorders>
              <w:top w:val="nil"/>
              <w:left w:val="nil"/>
              <w:bottom w:val="nil"/>
              <w:right w:val="nil"/>
            </w:tcBorders>
            <w:shd w:val="clear" w:color="000000" w:fill="FFFF00"/>
            <w:noWrap/>
            <w:vAlign w:val="bottom"/>
            <w:hideMark/>
          </w:tcPr>
          <w:p w14:paraId="508FA084" w14:textId="77777777" w:rsidR="008C0F4A" w:rsidRPr="008C0F4A" w:rsidRDefault="008C0F4A" w:rsidP="008C0F4A">
            <w:pPr>
              <w:jc w:val="right"/>
              <w:rPr>
                <w:rFonts w:cs="Arial"/>
                <w:sz w:val="22"/>
                <w:szCs w:val="22"/>
                <w:lang w:eastAsia="en-GB"/>
              </w:rPr>
            </w:pPr>
            <w:r w:rsidRPr="008C0F4A">
              <w:rPr>
                <w:rFonts w:cs="Arial"/>
                <w:sz w:val="22"/>
                <w:szCs w:val="22"/>
                <w:lang w:eastAsia="en-GB"/>
              </w:rPr>
              <w:t>1,250,000</w:t>
            </w:r>
          </w:p>
        </w:tc>
        <w:tc>
          <w:tcPr>
            <w:tcW w:w="816" w:type="dxa"/>
            <w:tcBorders>
              <w:top w:val="nil"/>
              <w:left w:val="nil"/>
              <w:bottom w:val="nil"/>
              <w:right w:val="nil"/>
            </w:tcBorders>
            <w:shd w:val="clear" w:color="auto" w:fill="auto"/>
            <w:noWrap/>
            <w:vAlign w:val="bottom"/>
            <w:hideMark/>
          </w:tcPr>
          <w:p w14:paraId="310DC47E" w14:textId="77777777" w:rsidR="008C0F4A" w:rsidRPr="008C0F4A" w:rsidRDefault="008C0F4A" w:rsidP="008C0F4A">
            <w:pPr>
              <w:jc w:val="center"/>
              <w:rPr>
                <w:rFonts w:cs="Arial"/>
                <w:sz w:val="22"/>
                <w:szCs w:val="22"/>
                <w:lang w:eastAsia="en-GB"/>
              </w:rPr>
            </w:pPr>
            <w:r w:rsidRPr="008C0F4A">
              <w:rPr>
                <w:rFonts w:cs="Arial"/>
                <w:sz w:val="22"/>
                <w:szCs w:val="22"/>
                <w:lang w:eastAsia="en-GB"/>
              </w:rPr>
              <w:t>i</w:t>
            </w:r>
          </w:p>
        </w:tc>
        <w:tc>
          <w:tcPr>
            <w:tcW w:w="1476" w:type="dxa"/>
            <w:gridSpan w:val="2"/>
            <w:tcBorders>
              <w:top w:val="nil"/>
              <w:left w:val="nil"/>
              <w:bottom w:val="nil"/>
              <w:right w:val="single" w:sz="8" w:space="0" w:color="auto"/>
            </w:tcBorders>
            <w:shd w:val="clear" w:color="auto" w:fill="auto"/>
            <w:noWrap/>
            <w:vAlign w:val="bottom"/>
            <w:hideMark/>
          </w:tcPr>
          <w:p w14:paraId="7837D5C2"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1C33E0A9"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3FE4E3F1" w14:textId="77777777" w:rsidR="008C0F4A" w:rsidRPr="008C0F4A" w:rsidRDefault="008C0F4A" w:rsidP="008C0F4A">
            <w:pPr>
              <w:rPr>
                <w:rFonts w:cs="Arial"/>
                <w:sz w:val="22"/>
                <w:szCs w:val="22"/>
                <w:lang w:eastAsia="en-GB"/>
              </w:rPr>
            </w:pPr>
            <w:r w:rsidRPr="008C0F4A">
              <w:rPr>
                <w:rFonts w:cs="Arial"/>
                <w:sz w:val="22"/>
                <w:szCs w:val="22"/>
                <w:lang w:eastAsia="en-GB"/>
              </w:rPr>
              <w:t xml:space="preserve">Change in notional gross yield </w:t>
            </w:r>
          </w:p>
        </w:tc>
        <w:tc>
          <w:tcPr>
            <w:tcW w:w="2096" w:type="dxa"/>
            <w:tcBorders>
              <w:top w:val="nil"/>
              <w:left w:val="nil"/>
              <w:bottom w:val="nil"/>
              <w:right w:val="nil"/>
            </w:tcBorders>
            <w:shd w:val="clear" w:color="000000" w:fill="FFFFFF"/>
            <w:noWrap/>
            <w:vAlign w:val="bottom"/>
            <w:hideMark/>
          </w:tcPr>
          <w:p w14:paraId="4B095B95" w14:textId="77777777" w:rsidR="008C0F4A" w:rsidRPr="008C0F4A" w:rsidRDefault="008C0F4A" w:rsidP="008C0F4A">
            <w:pPr>
              <w:jc w:val="right"/>
              <w:rPr>
                <w:rFonts w:cs="Arial"/>
                <w:sz w:val="22"/>
                <w:szCs w:val="22"/>
                <w:lang w:eastAsia="en-GB"/>
              </w:rPr>
            </w:pPr>
            <w:r w:rsidRPr="008C0F4A">
              <w:rPr>
                <w:rFonts w:cs="Arial"/>
                <w:sz w:val="22"/>
                <w:szCs w:val="22"/>
                <w:lang w:eastAsia="en-GB"/>
              </w:rPr>
              <w:t>0.00%</w:t>
            </w:r>
          </w:p>
        </w:tc>
        <w:tc>
          <w:tcPr>
            <w:tcW w:w="816" w:type="dxa"/>
            <w:tcBorders>
              <w:top w:val="nil"/>
              <w:left w:val="nil"/>
              <w:bottom w:val="nil"/>
              <w:right w:val="nil"/>
            </w:tcBorders>
            <w:shd w:val="clear" w:color="auto" w:fill="auto"/>
            <w:noWrap/>
            <w:vAlign w:val="bottom"/>
            <w:hideMark/>
          </w:tcPr>
          <w:p w14:paraId="410B4476" w14:textId="77777777" w:rsidR="008C0F4A" w:rsidRPr="008C0F4A" w:rsidRDefault="008C0F4A" w:rsidP="008C0F4A">
            <w:pPr>
              <w:jc w:val="center"/>
              <w:rPr>
                <w:rFonts w:cs="Arial"/>
                <w:sz w:val="22"/>
                <w:szCs w:val="22"/>
                <w:lang w:eastAsia="en-GB"/>
              </w:rPr>
            </w:pPr>
            <w:r w:rsidRPr="008C0F4A">
              <w:rPr>
                <w:rFonts w:cs="Arial"/>
                <w:sz w:val="22"/>
                <w:szCs w:val="22"/>
                <w:lang w:eastAsia="en-GB"/>
              </w:rPr>
              <w:t>j</w:t>
            </w:r>
          </w:p>
        </w:tc>
        <w:tc>
          <w:tcPr>
            <w:tcW w:w="1476" w:type="dxa"/>
            <w:gridSpan w:val="2"/>
            <w:tcBorders>
              <w:top w:val="nil"/>
              <w:left w:val="nil"/>
              <w:bottom w:val="nil"/>
              <w:right w:val="single" w:sz="8" w:space="0" w:color="auto"/>
            </w:tcBorders>
            <w:shd w:val="clear" w:color="auto" w:fill="auto"/>
            <w:noWrap/>
            <w:vAlign w:val="bottom"/>
            <w:hideMark/>
          </w:tcPr>
          <w:p w14:paraId="684E3AD5"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2DCC4210"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C0C0C0"/>
            <w:noWrap/>
            <w:vAlign w:val="bottom"/>
            <w:hideMark/>
          </w:tcPr>
          <w:p w14:paraId="0D3E80B9" w14:textId="77777777" w:rsidR="008C0F4A" w:rsidRPr="008C0F4A" w:rsidRDefault="008C0F4A" w:rsidP="008C0F4A">
            <w:pPr>
              <w:rPr>
                <w:rFonts w:cs="Arial"/>
                <w:sz w:val="22"/>
                <w:szCs w:val="22"/>
                <w:lang w:eastAsia="en-GB"/>
              </w:rPr>
            </w:pPr>
            <w:r w:rsidRPr="008C0F4A">
              <w:rPr>
                <w:rFonts w:cs="Arial"/>
                <w:sz w:val="22"/>
                <w:szCs w:val="22"/>
                <w:lang w:eastAsia="en-GB"/>
              </w:rPr>
              <w:t>Projected Empty property exemptions 2023/24</w:t>
            </w:r>
          </w:p>
        </w:tc>
        <w:tc>
          <w:tcPr>
            <w:tcW w:w="2096" w:type="dxa"/>
            <w:tcBorders>
              <w:top w:val="nil"/>
              <w:left w:val="nil"/>
              <w:bottom w:val="nil"/>
              <w:right w:val="nil"/>
            </w:tcBorders>
            <w:shd w:val="clear" w:color="000000" w:fill="BFBFBF"/>
            <w:noWrap/>
            <w:vAlign w:val="bottom"/>
            <w:hideMark/>
          </w:tcPr>
          <w:p w14:paraId="31DCFE11" w14:textId="77777777" w:rsidR="008C0F4A" w:rsidRPr="008C0F4A" w:rsidRDefault="008C0F4A" w:rsidP="008C0F4A">
            <w:pPr>
              <w:jc w:val="right"/>
              <w:rPr>
                <w:rFonts w:cs="Arial"/>
                <w:sz w:val="22"/>
                <w:szCs w:val="22"/>
                <w:lang w:eastAsia="en-GB"/>
              </w:rPr>
            </w:pPr>
            <w:r w:rsidRPr="008C0F4A">
              <w:rPr>
                <w:rFonts w:cs="Arial"/>
                <w:sz w:val="22"/>
                <w:szCs w:val="22"/>
                <w:lang w:eastAsia="en-GB"/>
              </w:rPr>
              <w:t>1,250,000</w:t>
            </w:r>
          </w:p>
        </w:tc>
        <w:tc>
          <w:tcPr>
            <w:tcW w:w="816" w:type="dxa"/>
            <w:tcBorders>
              <w:top w:val="nil"/>
              <w:left w:val="nil"/>
              <w:bottom w:val="nil"/>
              <w:right w:val="nil"/>
            </w:tcBorders>
            <w:shd w:val="clear" w:color="000000" w:fill="C0C0C0"/>
            <w:noWrap/>
            <w:vAlign w:val="bottom"/>
            <w:hideMark/>
          </w:tcPr>
          <w:p w14:paraId="060BA93F" w14:textId="77777777" w:rsidR="008C0F4A" w:rsidRPr="008C0F4A" w:rsidRDefault="008C0F4A" w:rsidP="008C0F4A">
            <w:pPr>
              <w:jc w:val="center"/>
              <w:rPr>
                <w:rFonts w:cs="Arial"/>
                <w:sz w:val="22"/>
                <w:szCs w:val="22"/>
                <w:lang w:eastAsia="en-GB"/>
              </w:rPr>
            </w:pPr>
            <w:r w:rsidRPr="008C0F4A">
              <w:rPr>
                <w:rFonts w:cs="Arial"/>
                <w:sz w:val="22"/>
                <w:szCs w:val="22"/>
                <w:lang w:eastAsia="en-GB"/>
              </w:rPr>
              <w:t>k</w:t>
            </w:r>
          </w:p>
        </w:tc>
        <w:tc>
          <w:tcPr>
            <w:tcW w:w="1476" w:type="dxa"/>
            <w:gridSpan w:val="2"/>
            <w:tcBorders>
              <w:top w:val="nil"/>
              <w:left w:val="nil"/>
              <w:bottom w:val="nil"/>
              <w:right w:val="single" w:sz="8" w:space="0" w:color="auto"/>
            </w:tcBorders>
            <w:shd w:val="clear" w:color="000000" w:fill="C0C0C0"/>
            <w:noWrap/>
            <w:vAlign w:val="bottom"/>
            <w:hideMark/>
          </w:tcPr>
          <w:p w14:paraId="08688BEA" w14:textId="77777777" w:rsidR="008C0F4A" w:rsidRPr="008C0F4A" w:rsidRDefault="008C0F4A" w:rsidP="008C0F4A">
            <w:pPr>
              <w:jc w:val="right"/>
              <w:rPr>
                <w:rFonts w:cs="Arial"/>
                <w:sz w:val="22"/>
                <w:szCs w:val="22"/>
                <w:lang w:eastAsia="en-GB"/>
              </w:rPr>
            </w:pPr>
            <w:r w:rsidRPr="008C0F4A">
              <w:rPr>
                <w:rFonts w:cs="Arial"/>
                <w:sz w:val="22"/>
                <w:szCs w:val="22"/>
                <w:lang w:eastAsia="en-GB"/>
              </w:rPr>
              <w:t>i x j</w:t>
            </w:r>
          </w:p>
        </w:tc>
      </w:tr>
      <w:tr w:rsidR="008C0F4A" w:rsidRPr="008C0F4A" w14:paraId="3FB68795"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100F202E"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2096" w:type="dxa"/>
            <w:tcBorders>
              <w:top w:val="nil"/>
              <w:left w:val="nil"/>
              <w:bottom w:val="nil"/>
              <w:right w:val="nil"/>
            </w:tcBorders>
            <w:shd w:val="clear" w:color="000000" w:fill="FFFFFF"/>
            <w:noWrap/>
            <w:vAlign w:val="bottom"/>
            <w:hideMark/>
          </w:tcPr>
          <w:p w14:paraId="2F523950"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816" w:type="dxa"/>
            <w:tcBorders>
              <w:top w:val="nil"/>
              <w:left w:val="nil"/>
              <w:bottom w:val="nil"/>
              <w:right w:val="nil"/>
            </w:tcBorders>
            <w:shd w:val="clear" w:color="000000" w:fill="FFFFFF"/>
            <w:noWrap/>
            <w:vAlign w:val="bottom"/>
            <w:hideMark/>
          </w:tcPr>
          <w:p w14:paraId="006D792C" w14:textId="77777777" w:rsidR="008C0F4A" w:rsidRPr="008C0F4A" w:rsidRDefault="008C0F4A" w:rsidP="008C0F4A">
            <w:pPr>
              <w:jc w:val="center"/>
              <w:rPr>
                <w:rFonts w:cs="Arial"/>
                <w:sz w:val="22"/>
                <w:szCs w:val="22"/>
                <w:lang w:eastAsia="en-GB"/>
              </w:rPr>
            </w:pPr>
            <w:r w:rsidRPr="008C0F4A">
              <w:rPr>
                <w:rFonts w:cs="Arial"/>
                <w:sz w:val="22"/>
                <w:szCs w:val="22"/>
                <w:lang w:eastAsia="en-GB"/>
              </w:rPr>
              <w:t> </w:t>
            </w:r>
          </w:p>
        </w:tc>
        <w:tc>
          <w:tcPr>
            <w:tcW w:w="1476" w:type="dxa"/>
            <w:gridSpan w:val="2"/>
            <w:tcBorders>
              <w:top w:val="nil"/>
              <w:left w:val="nil"/>
              <w:bottom w:val="nil"/>
              <w:right w:val="single" w:sz="8" w:space="0" w:color="auto"/>
            </w:tcBorders>
            <w:shd w:val="clear" w:color="000000" w:fill="FFFFFF"/>
            <w:noWrap/>
            <w:vAlign w:val="bottom"/>
            <w:hideMark/>
          </w:tcPr>
          <w:p w14:paraId="02CE4EED"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1CDD2E93"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587C27EB" w14:textId="77777777" w:rsidR="008C0F4A" w:rsidRPr="008C0F4A" w:rsidRDefault="008C0F4A" w:rsidP="008C0F4A">
            <w:pPr>
              <w:rPr>
                <w:rFonts w:cs="Arial"/>
                <w:b/>
                <w:bCs/>
                <w:sz w:val="22"/>
                <w:szCs w:val="22"/>
                <w:lang w:eastAsia="en-GB"/>
              </w:rPr>
            </w:pPr>
            <w:r w:rsidRPr="008C0F4A">
              <w:rPr>
                <w:rFonts w:cs="Arial"/>
                <w:b/>
                <w:bCs/>
                <w:sz w:val="22"/>
                <w:szCs w:val="22"/>
                <w:lang w:eastAsia="en-GB"/>
              </w:rPr>
              <w:t>Losses due to Mandatory relief</w:t>
            </w:r>
          </w:p>
        </w:tc>
        <w:tc>
          <w:tcPr>
            <w:tcW w:w="2096" w:type="dxa"/>
            <w:tcBorders>
              <w:top w:val="nil"/>
              <w:left w:val="nil"/>
              <w:bottom w:val="nil"/>
              <w:right w:val="nil"/>
            </w:tcBorders>
            <w:shd w:val="clear" w:color="000000" w:fill="FFFF00"/>
            <w:noWrap/>
            <w:vAlign w:val="bottom"/>
            <w:hideMark/>
          </w:tcPr>
          <w:p w14:paraId="2E144A39" w14:textId="77777777" w:rsidR="008C0F4A" w:rsidRPr="008C0F4A" w:rsidRDefault="008C0F4A" w:rsidP="008C0F4A">
            <w:pPr>
              <w:jc w:val="right"/>
              <w:rPr>
                <w:rFonts w:cs="Arial"/>
                <w:sz w:val="22"/>
                <w:szCs w:val="22"/>
                <w:lang w:eastAsia="en-GB"/>
              </w:rPr>
            </w:pPr>
            <w:r w:rsidRPr="008C0F4A">
              <w:rPr>
                <w:rFonts w:cs="Arial"/>
                <w:sz w:val="22"/>
                <w:szCs w:val="22"/>
                <w:lang w:eastAsia="en-GB"/>
              </w:rPr>
              <w:t>6,243,695</w:t>
            </w:r>
          </w:p>
        </w:tc>
        <w:tc>
          <w:tcPr>
            <w:tcW w:w="816" w:type="dxa"/>
            <w:tcBorders>
              <w:top w:val="nil"/>
              <w:left w:val="nil"/>
              <w:bottom w:val="nil"/>
              <w:right w:val="nil"/>
            </w:tcBorders>
            <w:shd w:val="clear" w:color="auto" w:fill="auto"/>
            <w:noWrap/>
            <w:vAlign w:val="bottom"/>
            <w:hideMark/>
          </w:tcPr>
          <w:p w14:paraId="5B703D1B" w14:textId="77777777" w:rsidR="008C0F4A" w:rsidRPr="008C0F4A" w:rsidRDefault="008C0F4A" w:rsidP="008C0F4A">
            <w:pPr>
              <w:jc w:val="center"/>
              <w:rPr>
                <w:rFonts w:cs="Arial"/>
                <w:sz w:val="22"/>
                <w:szCs w:val="22"/>
                <w:lang w:eastAsia="en-GB"/>
              </w:rPr>
            </w:pPr>
            <w:r w:rsidRPr="008C0F4A">
              <w:rPr>
                <w:rFonts w:cs="Arial"/>
                <w:sz w:val="22"/>
                <w:szCs w:val="22"/>
                <w:lang w:eastAsia="en-GB"/>
              </w:rPr>
              <w:t>l</w:t>
            </w:r>
          </w:p>
        </w:tc>
        <w:tc>
          <w:tcPr>
            <w:tcW w:w="1476" w:type="dxa"/>
            <w:gridSpan w:val="2"/>
            <w:tcBorders>
              <w:top w:val="nil"/>
              <w:left w:val="nil"/>
              <w:bottom w:val="nil"/>
              <w:right w:val="single" w:sz="8" w:space="0" w:color="auto"/>
            </w:tcBorders>
            <w:shd w:val="clear" w:color="auto" w:fill="auto"/>
            <w:noWrap/>
            <w:vAlign w:val="bottom"/>
            <w:hideMark/>
          </w:tcPr>
          <w:p w14:paraId="7BE50AD3"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2361B9BB"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6C5082DC" w14:textId="77777777" w:rsidR="008C0F4A" w:rsidRPr="008C0F4A" w:rsidRDefault="008C0F4A" w:rsidP="008C0F4A">
            <w:pPr>
              <w:rPr>
                <w:rFonts w:cs="Arial"/>
                <w:sz w:val="22"/>
                <w:szCs w:val="22"/>
                <w:lang w:eastAsia="en-GB"/>
              </w:rPr>
            </w:pPr>
            <w:r w:rsidRPr="008C0F4A">
              <w:rPr>
                <w:rFonts w:cs="Arial"/>
                <w:sz w:val="22"/>
                <w:szCs w:val="22"/>
                <w:lang w:eastAsia="en-GB"/>
              </w:rPr>
              <w:t xml:space="preserve">Change in notional gross yield </w:t>
            </w:r>
          </w:p>
        </w:tc>
        <w:tc>
          <w:tcPr>
            <w:tcW w:w="2096" w:type="dxa"/>
            <w:tcBorders>
              <w:top w:val="nil"/>
              <w:left w:val="nil"/>
              <w:bottom w:val="nil"/>
              <w:right w:val="nil"/>
            </w:tcBorders>
            <w:shd w:val="clear" w:color="000000" w:fill="FFFFFF"/>
            <w:noWrap/>
            <w:vAlign w:val="bottom"/>
            <w:hideMark/>
          </w:tcPr>
          <w:p w14:paraId="67B91A5F" w14:textId="77777777" w:rsidR="008C0F4A" w:rsidRPr="008C0F4A" w:rsidRDefault="008C0F4A" w:rsidP="008C0F4A">
            <w:pPr>
              <w:jc w:val="right"/>
              <w:rPr>
                <w:rFonts w:cs="Arial"/>
                <w:sz w:val="22"/>
                <w:szCs w:val="22"/>
                <w:lang w:eastAsia="en-GB"/>
              </w:rPr>
            </w:pPr>
            <w:r w:rsidRPr="008C0F4A">
              <w:rPr>
                <w:rFonts w:cs="Arial"/>
                <w:sz w:val="22"/>
                <w:szCs w:val="22"/>
                <w:lang w:eastAsia="en-GB"/>
              </w:rPr>
              <w:t>0.00%</w:t>
            </w:r>
          </w:p>
        </w:tc>
        <w:tc>
          <w:tcPr>
            <w:tcW w:w="816" w:type="dxa"/>
            <w:tcBorders>
              <w:top w:val="nil"/>
              <w:left w:val="nil"/>
              <w:bottom w:val="nil"/>
              <w:right w:val="nil"/>
            </w:tcBorders>
            <w:shd w:val="clear" w:color="auto" w:fill="auto"/>
            <w:noWrap/>
            <w:vAlign w:val="bottom"/>
            <w:hideMark/>
          </w:tcPr>
          <w:p w14:paraId="43359071" w14:textId="77777777" w:rsidR="008C0F4A" w:rsidRPr="008C0F4A" w:rsidRDefault="008C0F4A" w:rsidP="008C0F4A">
            <w:pPr>
              <w:jc w:val="center"/>
              <w:rPr>
                <w:rFonts w:cs="Arial"/>
                <w:sz w:val="22"/>
                <w:szCs w:val="22"/>
                <w:lang w:eastAsia="en-GB"/>
              </w:rPr>
            </w:pPr>
            <w:r w:rsidRPr="008C0F4A">
              <w:rPr>
                <w:rFonts w:cs="Arial"/>
                <w:sz w:val="22"/>
                <w:szCs w:val="22"/>
                <w:lang w:eastAsia="en-GB"/>
              </w:rPr>
              <w:t>m</w:t>
            </w:r>
          </w:p>
        </w:tc>
        <w:tc>
          <w:tcPr>
            <w:tcW w:w="1476" w:type="dxa"/>
            <w:gridSpan w:val="2"/>
            <w:tcBorders>
              <w:top w:val="nil"/>
              <w:left w:val="nil"/>
              <w:bottom w:val="nil"/>
              <w:right w:val="single" w:sz="8" w:space="0" w:color="auto"/>
            </w:tcBorders>
            <w:shd w:val="clear" w:color="auto" w:fill="auto"/>
            <w:noWrap/>
            <w:vAlign w:val="bottom"/>
            <w:hideMark/>
          </w:tcPr>
          <w:p w14:paraId="78F32866"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2AA8CDBA"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C0C0C0"/>
            <w:noWrap/>
            <w:vAlign w:val="bottom"/>
            <w:hideMark/>
          </w:tcPr>
          <w:p w14:paraId="771F0B54" w14:textId="77777777" w:rsidR="008C0F4A" w:rsidRPr="008C0F4A" w:rsidRDefault="008C0F4A" w:rsidP="008C0F4A">
            <w:pPr>
              <w:rPr>
                <w:rFonts w:cs="Arial"/>
                <w:sz w:val="22"/>
                <w:szCs w:val="22"/>
                <w:lang w:eastAsia="en-GB"/>
              </w:rPr>
            </w:pPr>
            <w:r w:rsidRPr="008C0F4A">
              <w:rPr>
                <w:rFonts w:cs="Arial"/>
                <w:sz w:val="22"/>
                <w:szCs w:val="22"/>
                <w:lang w:eastAsia="en-GB"/>
              </w:rPr>
              <w:t>Projected Mandatory Relief 2023/24</w:t>
            </w:r>
          </w:p>
        </w:tc>
        <w:tc>
          <w:tcPr>
            <w:tcW w:w="2096" w:type="dxa"/>
            <w:tcBorders>
              <w:top w:val="nil"/>
              <w:left w:val="nil"/>
              <w:bottom w:val="nil"/>
              <w:right w:val="nil"/>
            </w:tcBorders>
            <w:shd w:val="clear" w:color="000000" w:fill="BFBFBF"/>
            <w:noWrap/>
            <w:vAlign w:val="bottom"/>
            <w:hideMark/>
          </w:tcPr>
          <w:p w14:paraId="7D0291E5" w14:textId="77777777" w:rsidR="008C0F4A" w:rsidRPr="008C0F4A" w:rsidRDefault="008C0F4A" w:rsidP="008C0F4A">
            <w:pPr>
              <w:jc w:val="right"/>
              <w:rPr>
                <w:rFonts w:cs="Arial"/>
                <w:sz w:val="22"/>
                <w:szCs w:val="22"/>
                <w:lang w:eastAsia="en-GB"/>
              </w:rPr>
            </w:pPr>
            <w:r w:rsidRPr="008C0F4A">
              <w:rPr>
                <w:rFonts w:cs="Arial"/>
                <w:sz w:val="22"/>
                <w:szCs w:val="22"/>
                <w:lang w:eastAsia="en-GB"/>
              </w:rPr>
              <w:t>6,243,695</w:t>
            </w:r>
          </w:p>
        </w:tc>
        <w:tc>
          <w:tcPr>
            <w:tcW w:w="816" w:type="dxa"/>
            <w:tcBorders>
              <w:top w:val="nil"/>
              <w:left w:val="nil"/>
              <w:bottom w:val="nil"/>
              <w:right w:val="nil"/>
            </w:tcBorders>
            <w:shd w:val="clear" w:color="000000" w:fill="C0C0C0"/>
            <w:noWrap/>
            <w:vAlign w:val="bottom"/>
            <w:hideMark/>
          </w:tcPr>
          <w:p w14:paraId="66A3EC1C" w14:textId="77777777" w:rsidR="008C0F4A" w:rsidRPr="008C0F4A" w:rsidRDefault="008C0F4A" w:rsidP="008C0F4A">
            <w:pPr>
              <w:jc w:val="center"/>
              <w:rPr>
                <w:rFonts w:cs="Arial"/>
                <w:sz w:val="22"/>
                <w:szCs w:val="22"/>
                <w:lang w:eastAsia="en-GB"/>
              </w:rPr>
            </w:pPr>
            <w:r w:rsidRPr="008C0F4A">
              <w:rPr>
                <w:rFonts w:cs="Arial"/>
                <w:sz w:val="22"/>
                <w:szCs w:val="22"/>
                <w:lang w:eastAsia="en-GB"/>
              </w:rPr>
              <w:t>n</w:t>
            </w:r>
          </w:p>
        </w:tc>
        <w:tc>
          <w:tcPr>
            <w:tcW w:w="1476" w:type="dxa"/>
            <w:gridSpan w:val="2"/>
            <w:tcBorders>
              <w:top w:val="nil"/>
              <w:left w:val="nil"/>
              <w:bottom w:val="nil"/>
              <w:right w:val="single" w:sz="8" w:space="0" w:color="auto"/>
            </w:tcBorders>
            <w:shd w:val="clear" w:color="000000" w:fill="C0C0C0"/>
            <w:noWrap/>
            <w:vAlign w:val="bottom"/>
            <w:hideMark/>
          </w:tcPr>
          <w:p w14:paraId="39A5D9FF" w14:textId="77777777" w:rsidR="008C0F4A" w:rsidRPr="008C0F4A" w:rsidRDefault="008C0F4A" w:rsidP="008C0F4A">
            <w:pPr>
              <w:jc w:val="right"/>
              <w:rPr>
                <w:rFonts w:cs="Arial"/>
                <w:sz w:val="22"/>
                <w:szCs w:val="22"/>
                <w:lang w:eastAsia="en-GB"/>
              </w:rPr>
            </w:pPr>
            <w:r w:rsidRPr="008C0F4A">
              <w:rPr>
                <w:rFonts w:cs="Arial"/>
                <w:sz w:val="22"/>
                <w:szCs w:val="22"/>
                <w:lang w:eastAsia="en-GB"/>
              </w:rPr>
              <w:t>l x m</w:t>
            </w:r>
          </w:p>
        </w:tc>
      </w:tr>
      <w:tr w:rsidR="008C0F4A" w:rsidRPr="008C0F4A" w14:paraId="3089259C"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28E913FD"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2096" w:type="dxa"/>
            <w:tcBorders>
              <w:top w:val="nil"/>
              <w:left w:val="nil"/>
              <w:bottom w:val="nil"/>
              <w:right w:val="nil"/>
            </w:tcBorders>
            <w:shd w:val="clear" w:color="000000" w:fill="FFFFFF"/>
            <w:noWrap/>
            <w:vAlign w:val="bottom"/>
            <w:hideMark/>
          </w:tcPr>
          <w:p w14:paraId="10B0AC53"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816" w:type="dxa"/>
            <w:tcBorders>
              <w:top w:val="nil"/>
              <w:left w:val="nil"/>
              <w:bottom w:val="nil"/>
              <w:right w:val="nil"/>
            </w:tcBorders>
            <w:shd w:val="clear" w:color="000000" w:fill="FFFFFF"/>
            <w:noWrap/>
            <w:vAlign w:val="bottom"/>
            <w:hideMark/>
          </w:tcPr>
          <w:p w14:paraId="64CFB6B4" w14:textId="77777777" w:rsidR="008C0F4A" w:rsidRPr="008C0F4A" w:rsidRDefault="008C0F4A" w:rsidP="008C0F4A">
            <w:pPr>
              <w:jc w:val="center"/>
              <w:rPr>
                <w:rFonts w:cs="Arial"/>
                <w:sz w:val="22"/>
                <w:szCs w:val="22"/>
                <w:lang w:eastAsia="en-GB"/>
              </w:rPr>
            </w:pPr>
            <w:r w:rsidRPr="008C0F4A">
              <w:rPr>
                <w:rFonts w:cs="Arial"/>
                <w:sz w:val="22"/>
                <w:szCs w:val="22"/>
                <w:lang w:eastAsia="en-GB"/>
              </w:rPr>
              <w:t> </w:t>
            </w:r>
          </w:p>
        </w:tc>
        <w:tc>
          <w:tcPr>
            <w:tcW w:w="1476" w:type="dxa"/>
            <w:gridSpan w:val="2"/>
            <w:tcBorders>
              <w:top w:val="nil"/>
              <w:left w:val="nil"/>
              <w:bottom w:val="nil"/>
              <w:right w:val="single" w:sz="8" w:space="0" w:color="auto"/>
            </w:tcBorders>
            <w:shd w:val="clear" w:color="000000" w:fill="FFFFFF"/>
            <w:noWrap/>
            <w:vAlign w:val="bottom"/>
            <w:hideMark/>
          </w:tcPr>
          <w:p w14:paraId="0FA10D55"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199700EE"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1874A033" w14:textId="77777777" w:rsidR="008C0F4A" w:rsidRPr="008C0F4A" w:rsidRDefault="008C0F4A" w:rsidP="008C0F4A">
            <w:pPr>
              <w:rPr>
                <w:rFonts w:cs="Arial"/>
                <w:b/>
                <w:bCs/>
                <w:sz w:val="22"/>
                <w:szCs w:val="22"/>
                <w:lang w:eastAsia="en-GB"/>
              </w:rPr>
            </w:pPr>
            <w:r w:rsidRPr="008C0F4A">
              <w:rPr>
                <w:rFonts w:cs="Arial"/>
                <w:b/>
                <w:bCs/>
                <w:sz w:val="22"/>
                <w:szCs w:val="22"/>
                <w:lang w:eastAsia="en-GB"/>
              </w:rPr>
              <w:t>Losses due to Discretionary relief</w:t>
            </w:r>
          </w:p>
        </w:tc>
        <w:tc>
          <w:tcPr>
            <w:tcW w:w="2096" w:type="dxa"/>
            <w:tcBorders>
              <w:top w:val="nil"/>
              <w:left w:val="nil"/>
              <w:bottom w:val="nil"/>
              <w:right w:val="nil"/>
            </w:tcBorders>
            <w:shd w:val="clear" w:color="000000" w:fill="FFFF00"/>
            <w:noWrap/>
            <w:vAlign w:val="bottom"/>
            <w:hideMark/>
          </w:tcPr>
          <w:p w14:paraId="4D3285CA" w14:textId="77777777" w:rsidR="008C0F4A" w:rsidRPr="008C0F4A" w:rsidRDefault="008C0F4A" w:rsidP="008C0F4A">
            <w:pPr>
              <w:jc w:val="right"/>
              <w:rPr>
                <w:rFonts w:cs="Arial"/>
                <w:sz w:val="22"/>
                <w:szCs w:val="22"/>
                <w:lang w:eastAsia="en-GB"/>
              </w:rPr>
            </w:pPr>
            <w:r w:rsidRPr="008C0F4A">
              <w:rPr>
                <w:rFonts w:cs="Arial"/>
                <w:sz w:val="22"/>
                <w:szCs w:val="22"/>
                <w:lang w:eastAsia="en-GB"/>
              </w:rPr>
              <w:t>55,000</w:t>
            </w:r>
          </w:p>
        </w:tc>
        <w:tc>
          <w:tcPr>
            <w:tcW w:w="816" w:type="dxa"/>
            <w:tcBorders>
              <w:top w:val="nil"/>
              <w:left w:val="nil"/>
              <w:bottom w:val="nil"/>
              <w:right w:val="nil"/>
            </w:tcBorders>
            <w:shd w:val="clear" w:color="auto" w:fill="auto"/>
            <w:noWrap/>
            <w:vAlign w:val="bottom"/>
            <w:hideMark/>
          </w:tcPr>
          <w:p w14:paraId="2643783E" w14:textId="77777777" w:rsidR="008C0F4A" w:rsidRPr="008C0F4A" w:rsidRDefault="008C0F4A" w:rsidP="008C0F4A">
            <w:pPr>
              <w:jc w:val="center"/>
              <w:rPr>
                <w:rFonts w:cs="Arial"/>
                <w:sz w:val="22"/>
                <w:szCs w:val="22"/>
                <w:lang w:eastAsia="en-GB"/>
              </w:rPr>
            </w:pPr>
            <w:r w:rsidRPr="008C0F4A">
              <w:rPr>
                <w:rFonts w:cs="Arial"/>
                <w:sz w:val="22"/>
                <w:szCs w:val="22"/>
                <w:lang w:eastAsia="en-GB"/>
              </w:rPr>
              <w:t>o</w:t>
            </w:r>
          </w:p>
        </w:tc>
        <w:tc>
          <w:tcPr>
            <w:tcW w:w="1476" w:type="dxa"/>
            <w:gridSpan w:val="2"/>
            <w:tcBorders>
              <w:top w:val="nil"/>
              <w:left w:val="nil"/>
              <w:bottom w:val="nil"/>
              <w:right w:val="single" w:sz="8" w:space="0" w:color="auto"/>
            </w:tcBorders>
            <w:shd w:val="clear" w:color="auto" w:fill="auto"/>
            <w:noWrap/>
            <w:vAlign w:val="bottom"/>
            <w:hideMark/>
          </w:tcPr>
          <w:p w14:paraId="05689E8B"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6A273FDA"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510B7A69" w14:textId="77777777" w:rsidR="008C0F4A" w:rsidRPr="008C0F4A" w:rsidRDefault="008C0F4A" w:rsidP="008C0F4A">
            <w:pPr>
              <w:rPr>
                <w:rFonts w:cs="Arial"/>
                <w:sz w:val="22"/>
                <w:szCs w:val="22"/>
                <w:lang w:eastAsia="en-GB"/>
              </w:rPr>
            </w:pPr>
            <w:r w:rsidRPr="008C0F4A">
              <w:rPr>
                <w:rFonts w:cs="Arial"/>
                <w:sz w:val="22"/>
                <w:szCs w:val="22"/>
                <w:lang w:eastAsia="en-GB"/>
              </w:rPr>
              <w:t xml:space="preserve">Change in notional gross yield </w:t>
            </w:r>
          </w:p>
        </w:tc>
        <w:tc>
          <w:tcPr>
            <w:tcW w:w="2096" w:type="dxa"/>
            <w:tcBorders>
              <w:top w:val="nil"/>
              <w:left w:val="nil"/>
              <w:bottom w:val="nil"/>
              <w:right w:val="nil"/>
            </w:tcBorders>
            <w:shd w:val="clear" w:color="000000" w:fill="FFFFFF"/>
            <w:noWrap/>
            <w:vAlign w:val="bottom"/>
            <w:hideMark/>
          </w:tcPr>
          <w:p w14:paraId="4063E0B7" w14:textId="77777777" w:rsidR="008C0F4A" w:rsidRPr="008C0F4A" w:rsidRDefault="008C0F4A" w:rsidP="008C0F4A">
            <w:pPr>
              <w:jc w:val="right"/>
              <w:rPr>
                <w:rFonts w:cs="Arial"/>
                <w:sz w:val="22"/>
                <w:szCs w:val="22"/>
                <w:lang w:eastAsia="en-GB"/>
              </w:rPr>
            </w:pPr>
            <w:r w:rsidRPr="008C0F4A">
              <w:rPr>
                <w:rFonts w:cs="Arial"/>
                <w:sz w:val="22"/>
                <w:szCs w:val="22"/>
                <w:lang w:eastAsia="en-GB"/>
              </w:rPr>
              <w:t>0.00%</w:t>
            </w:r>
          </w:p>
        </w:tc>
        <w:tc>
          <w:tcPr>
            <w:tcW w:w="816" w:type="dxa"/>
            <w:tcBorders>
              <w:top w:val="nil"/>
              <w:left w:val="nil"/>
              <w:bottom w:val="nil"/>
              <w:right w:val="nil"/>
            </w:tcBorders>
            <w:shd w:val="clear" w:color="auto" w:fill="auto"/>
            <w:noWrap/>
            <w:vAlign w:val="bottom"/>
            <w:hideMark/>
          </w:tcPr>
          <w:p w14:paraId="52B0ACC3" w14:textId="77777777" w:rsidR="008C0F4A" w:rsidRPr="008C0F4A" w:rsidRDefault="008C0F4A" w:rsidP="008C0F4A">
            <w:pPr>
              <w:jc w:val="center"/>
              <w:rPr>
                <w:rFonts w:cs="Arial"/>
                <w:sz w:val="22"/>
                <w:szCs w:val="22"/>
                <w:lang w:eastAsia="en-GB"/>
              </w:rPr>
            </w:pPr>
            <w:r w:rsidRPr="008C0F4A">
              <w:rPr>
                <w:rFonts w:cs="Arial"/>
                <w:sz w:val="22"/>
                <w:szCs w:val="22"/>
                <w:lang w:eastAsia="en-GB"/>
              </w:rPr>
              <w:t>p</w:t>
            </w:r>
          </w:p>
        </w:tc>
        <w:tc>
          <w:tcPr>
            <w:tcW w:w="1476" w:type="dxa"/>
            <w:gridSpan w:val="2"/>
            <w:tcBorders>
              <w:top w:val="nil"/>
              <w:left w:val="nil"/>
              <w:bottom w:val="nil"/>
              <w:right w:val="single" w:sz="8" w:space="0" w:color="auto"/>
            </w:tcBorders>
            <w:shd w:val="clear" w:color="auto" w:fill="auto"/>
            <w:noWrap/>
            <w:vAlign w:val="bottom"/>
            <w:hideMark/>
          </w:tcPr>
          <w:p w14:paraId="5EE09E56"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164BA16A"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C0C0C0"/>
            <w:noWrap/>
            <w:vAlign w:val="bottom"/>
            <w:hideMark/>
          </w:tcPr>
          <w:p w14:paraId="7EC97CA3" w14:textId="77777777" w:rsidR="008C0F4A" w:rsidRPr="008C0F4A" w:rsidRDefault="008C0F4A" w:rsidP="008C0F4A">
            <w:pPr>
              <w:rPr>
                <w:rFonts w:cs="Arial"/>
                <w:sz w:val="22"/>
                <w:szCs w:val="22"/>
                <w:lang w:eastAsia="en-GB"/>
              </w:rPr>
            </w:pPr>
            <w:r w:rsidRPr="008C0F4A">
              <w:rPr>
                <w:rFonts w:cs="Arial"/>
                <w:sz w:val="22"/>
                <w:szCs w:val="22"/>
                <w:lang w:eastAsia="en-GB"/>
              </w:rPr>
              <w:t>Projected Discretionary Relief 2023/24</w:t>
            </w:r>
          </w:p>
        </w:tc>
        <w:tc>
          <w:tcPr>
            <w:tcW w:w="2096" w:type="dxa"/>
            <w:tcBorders>
              <w:top w:val="nil"/>
              <w:left w:val="nil"/>
              <w:bottom w:val="nil"/>
              <w:right w:val="nil"/>
            </w:tcBorders>
            <w:shd w:val="clear" w:color="000000" w:fill="BFBFBF"/>
            <w:noWrap/>
            <w:vAlign w:val="bottom"/>
            <w:hideMark/>
          </w:tcPr>
          <w:p w14:paraId="12BF6F61" w14:textId="77777777" w:rsidR="008C0F4A" w:rsidRPr="008C0F4A" w:rsidRDefault="008C0F4A" w:rsidP="008C0F4A">
            <w:pPr>
              <w:jc w:val="right"/>
              <w:rPr>
                <w:rFonts w:cs="Arial"/>
                <w:sz w:val="22"/>
                <w:szCs w:val="22"/>
                <w:lang w:eastAsia="en-GB"/>
              </w:rPr>
            </w:pPr>
            <w:r w:rsidRPr="008C0F4A">
              <w:rPr>
                <w:rFonts w:cs="Arial"/>
                <w:sz w:val="22"/>
                <w:szCs w:val="22"/>
                <w:lang w:eastAsia="en-GB"/>
              </w:rPr>
              <w:t>55,000</w:t>
            </w:r>
          </w:p>
        </w:tc>
        <w:tc>
          <w:tcPr>
            <w:tcW w:w="816" w:type="dxa"/>
            <w:tcBorders>
              <w:top w:val="nil"/>
              <w:left w:val="nil"/>
              <w:bottom w:val="nil"/>
              <w:right w:val="nil"/>
            </w:tcBorders>
            <w:shd w:val="clear" w:color="000000" w:fill="C0C0C0"/>
            <w:noWrap/>
            <w:vAlign w:val="bottom"/>
            <w:hideMark/>
          </w:tcPr>
          <w:p w14:paraId="5520A0F2" w14:textId="77777777" w:rsidR="008C0F4A" w:rsidRPr="008C0F4A" w:rsidRDefault="008C0F4A" w:rsidP="008C0F4A">
            <w:pPr>
              <w:jc w:val="center"/>
              <w:rPr>
                <w:rFonts w:cs="Arial"/>
                <w:sz w:val="22"/>
                <w:szCs w:val="22"/>
                <w:lang w:eastAsia="en-GB"/>
              </w:rPr>
            </w:pPr>
            <w:r w:rsidRPr="008C0F4A">
              <w:rPr>
                <w:rFonts w:cs="Arial"/>
                <w:sz w:val="22"/>
                <w:szCs w:val="22"/>
                <w:lang w:eastAsia="en-GB"/>
              </w:rPr>
              <w:t>q</w:t>
            </w:r>
          </w:p>
        </w:tc>
        <w:tc>
          <w:tcPr>
            <w:tcW w:w="1476" w:type="dxa"/>
            <w:gridSpan w:val="2"/>
            <w:tcBorders>
              <w:top w:val="nil"/>
              <w:left w:val="nil"/>
              <w:bottom w:val="nil"/>
              <w:right w:val="single" w:sz="8" w:space="0" w:color="auto"/>
            </w:tcBorders>
            <w:shd w:val="clear" w:color="000000" w:fill="C0C0C0"/>
            <w:noWrap/>
            <w:vAlign w:val="bottom"/>
            <w:hideMark/>
          </w:tcPr>
          <w:p w14:paraId="5FCB5368" w14:textId="77777777" w:rsidR="008C0F4A" w:rsidRPr="008C0F4A" w:rsidRDefault="008C0F4A" w:rsidP="008C0F4A">
            <w:pPr>
              <w:jc w:val="right"/>
              <w:rPr>
                <w:rFonts w:cs="Arial"/>
                <w:sz w:val="22"/>
                <w:szCs w:val="22"/>
                <w:lang w:eastAsia="en-GB"/>
              </w:rPr>
            </w:pPr>
            <w:r w:rsidRPr="008C0F4A">
              <w:rPr>
                <w:rFonts w:cs="Arial"/>
                <w:sz w:val="22"/>
                <w:szCs w:val="22"/>
                <w:lang w:eastAsia="en-GB"/>
              </w:rPr>
              <w:t>o x p</w:t>
            </w:r>
          </w:p>
        </w:tc>
      </w:tr>
      <w:tr w:rsidR="008C0F4A" w:rsidRPr="008C0F4A" w14:paraId="6AD1369F"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6E7C10CF"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2096" w:type="dxa"/>
            <w:tcBorders>
              <w:top w:val="nil"/>
              <w:left w:val="nil"/>
              <w:bottom w:val="nil"/>
              <w:right w:val="nil"/>
            </w:tcBorders>
            <w:shd w:val="clear" w:color="000000" w:fill="FFFFFF"/>
            <w:noWrap/>
            <w:vAlign w:val="bottom"/>
            <w:hideMark/>
          </w:tcPr>
          <w:p w14:paraId="289DC2F9"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816" w:type="dxa"/>
            <w:tcBorders>
              <w:top w:val="nil"/>
              <w:left w:val="nil"/>
              <w:bottom w:val="nil"/>
              <w:right w:val="nil"/>
            </w:tcBorders>
            <w:shd w:val="clear" w:color="000000" w:fill="FFFFFF"/>
            <w:noWrap/>
            <w:vAlign w:val="bottom"/>
            <w:hideMark/>
          </w:tcPr>
          <w:p w14:paraId="474D81FB" w14:textId="77777777" w:rsidR="008C0F4A" w:rsidRPr="008C0F4A" w:rsidRDefault="008C0F4A" w:rsidP="008C0F4A">
            <w:pPr>
              <w:jc w:val="center"/>
              <w:rPr>
                <w:rFonts w:cs="Arial"/>
                <w:sz w:val="22"/>
                <w:szCs w:val="22"/>
                <w:lang w:eastAsia="en-GB"/>
              </w:rPr>
            </w:pPr>
            <w:r w:rsidRPr="008C0F4A">
              <w:rPr>
                <w:rFonts w:cs="Arial"/>
                <w:sz w:val="22"/>
                <w:szCs w:val="22"/>
                <w:lang w:eastAsia="en-GB"/>
              </w:rPr>
              <w:t> </w:t>
            </w:r>
          </w:p>
        </w:tc>
        <w:tc>
          <w:tcPr>
            <w:tcW w:w="1476" w:type="dxa"/>
            <w:gridSpan w:val="2"/>
            <w:tcBorders>
              <w:top w:val="nil"/>
              <w:left w:val="nil"/>
              <w:bottom w:val="nil"/>
              <w:right w:val="single" w:sz="8" w:space="0" w:color="auto"/>
            </w:tcBorders>
            <w:shd w:val="clear" w:color="000000" w:fill="FFFFFF"/>
            <w:noWrap/>
            <w:vAlign w:val="bottom"/>
            <w:hideMark/>
          </w:tcPr>
          <w:p w14:paraId="03804484"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25D5C728"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77295437" w14:textId="77777777" w:rsidR="008C0F4A" w:rsidRPr="008C0F4A" w:rsidRDefault="008C0F4A" w:rsidP="008C0F4A">
            <w:pPr>
              <w:rPr>
                <w:rFonts w:cs="Arial"/>
                <w:b/>
                <w:bCs/>
                <w:sz w:val="22"/>
                <w:szCs w:val="22"/>
                <w:lang w:eastAsia="en-GB"/>
              </w:rPr>
            </w:pPr>
            <w:r w:rsidRPr="008C0F4A">
              <w:rPr>
                <w:rFonts w:cs="Arial"/>
                <w:b/>
                <w:bCs/>
                <w:sz w:val="22"/>
                <w:szCs w:val="22"/>
                <w:lang w:eastAsia="en-GB"/>
              </w:rPr>
              <w:t>Additional Yield generated from SBR supplement</w:t>
            </w:r>
          </w:p>
        </w:tc>
        <w:tc>
          <w:tcPr>
            <w:tcW w:w="2096" w:type="dxa"/>
            <w:tcBorders>
              <w:top w:val="nil"/>
              <w:left w:val="nil"/>
              <w:bottom w:val="nil"/>
              <w:right w:val="nil"/>
            </w:tcBorders>
            <w:shd w:val="clear" w:color="000000" w:fill="FFFF00"/>
            <w:noWrap/>
            <w:vAlign w:val="bottom"/>
            <w:hideMark/>
          </w:tcPr>
          <w:p w14:paraId="0790B5E6" w14:textId="77777777" w:rsidR="008C0F4A" w:rsidRPr="008C0F4A" w:rsidRDefault="008C0F4A" w:rsidP="008C0F4A">
            <w:pPr>
              <w:jc w:val="right"/>
              <w:rPr>
                <w:rFonts w:cs="Arial"/>
                <w:sz w:val="22"/>
                <w:szCs w:val="22"/>
                <w:lang w:eastAsia="en-GB"/>
              </w:rPr>
            </w:pPr>
            <w:r w:rsidRPr="008C0F4A">
              <w:rPr>
                <w:rFonts w:cs="Arial"/>
                <w:sz w:val="22"/>
                <w:szCs w:val="22"/>
                <w:lang w:eastAsia="en-GB"/>
              </w:rPr>
              <w:t>-500,000</w:t>
            </w:r>
          </w:p>
        </w:tc>
        <w:tc>
          <w:tcPr>
            <w:tcW w:w="816" w:type="dxa"/>
            <w:tcBorders>
              <w:top w:val="nil"/>
              <w:left w:val="nil"/>
              <w:bottom w:val="nil"/>
              <w:right w:val="nil"/>
            </w:tcBorders>
            <w:shd w:val="clear" w:color="000000" w:fill="FFFFFF"/>
            <w:noWrap/>
            <w:vAlign w:val="bottom"/>
            <w:hideMark/>
          </w:tcPr>
          <w:p w14:paraId="559EEC08" w14:textId="77777777" w:rsidR="008C0F4A" w:rsidRPr="008C0F4A" w:rsidRDefault="008C0F4A" w:rsidP="008C0F4A">
            <w:pPr>
              <w:jc w:val="center"/>
              <w:rPr>
                <w:rFonts w:cs="Arial"/>
                <w:sz w:val="22"/>
                <w:szCs w:val="22"/>
                <w:lang w:eastAsia="en-GB"/>
              </w:rPr>
            </w:pPr>
            <w:r w:rsidRPr="008C0F4A">
              <w:rPr>
                <w:rFonts w:cs="Arial"/>
                <w:sz w:val="22"/>
                <w:szCs w:val="22"/>
                <w:lang w:eastAsia="en-GB"/>
              </w:rPr>
              <w:t> </w:t>
            </w:r>
          </w:p>
        </w:tc>
        <w:tc>
          <w:tcPr>
            <w:tcW w:w="1476" w:type="dxa"/>
            <w:gridSpan w:val="2"/>
            <w:tcBorders>
              <w:top w:val="nil"/>
              <w:left w:val="nil"/>
              <w:bottom w:val="nil"/>
              <w:right w:val="single" w:sz="8" w:space="0" w:color="auto"/>
            </w:tcBorders>
            <w:shd w:val="clear" w:color="000000" w:fill="FFFFFF"/>
            <w:noWrap/>
            <w:vAlign w:val="bottom"/>
            <w:hideMark/>
          </w:tcPr>
          <w:p w14:paraId="4CD1C094"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36D00210"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154617C2" w14:textId="77777777" w:rsidR="008C0F4A" w:rsidRPr="008C0F4A" w:rsidRDefault="008C0F4A" w:rsidP="008C0F4A">
            <w:pPr>
              <w:rPr>
                <w:rFonts w:cs="Arial"/>
                <w:b/>
                <w:bCs/>
                <w:sz w:val="22"/>
                <w:szCs w:val="22"/>
                <w:lang w:eastAsia="en-GB"/>
              </w:rPr>
            </w:pPr>
            <w:r w:rsidRPr="008C0F4A">
              <w:rPr>
                <w:rFonts w:cs="Arial"/>
                <w:b/>
                <w:bCs/>
                <w:sz w:val="22"/>
                <w:szCs w:val="22"/>
                <w:lang w:eastAsia="en-GB"/>
              </w:rPr>
              <w:t>Less Cost of collection</w:t>
            </w:r>
          </w:p>
        </w:tc>
        <w:tc>
          <w:tcPr>
            <w:tcW w:w="2096" w:type="dxa"/>
            <w:tcBorders>
              <w:top w:val="nil"/>
              <w:left w:val="nil"/>
              <w:bottom w:val="nil"/>
              <w:right w:val="nil"/>
            </w:tcBorders>
            <w:shd w:val="clear" w:color="000000" w:fill="FFFF00"/>
            <w:noWrap/>
            <w:vAlign w:val="bottom"/>
            <w:hideMark/>
          </w:tcPr>
          <w:p w14:paraId="3D0A393B" w14:textId="77777777" w:rsidR="008C0F4A" w:rsidRPr="008C0F4A" w:rsidRDefault="008C0F4A" w:rsidP="008C0F4A">
            <w:pPr>
              <w:jc w:val="right"/>
              <w:rPr>
                <w:rFonts w:cs="Arial"/>
                <w:sz w:val="22"/>
                <w:szCs w:val="22"/>
                <w:lang w:eastAsia="en-GB"/>
              </w:rPr>
            </w:pPr>
            <w:r w:rsidRPr="008C0F4A">
              <w:rPr>
                <w:rFonts w:cs="Arial"/>
                <w:sz w:val="22"/>
                <w:szCs w:val="22"/>
                <w:lang w:eastAsia="en-GB"/>
              </w:rPr>
              <w:t>242,610</w:t>
            </w:r>
          </w:p>
        </w:tc>
        <w:tc>
          <w:tcPr>
            <w:tcW w:w="816" w:type="dxa"/>
            <w:tcBorders>
              <w:top w:val="nil"/>
              <w:left w:val="nil"/>
              <w:bottom w:val="nil"/>
              <w:right w:val="nil"/>
            </w:tcBorders>
            <w:shd w:val="clear" w:color="000000" w:fill="FFFFFF"/>
            <w:noWrap/>
            <w:vAlign w:val="bottom"/>
            <w:hideMark/>
          </w:tcPr>
          <w:p w14:paraId="4C425869" w14:textId="77777777" w:rsidR="008C0F4A" w:rsidRPr="008C0F4A" w:rsidRDefault="008C0F4A" w:rsidP="008C0F4A">
            <w:pPr>
              <w:jc w:val="center"/>
              <w:rPr>
                <w:rFonts w:cs="Arial"/>
                <w:sz w:val="22"/>
                <w:szCs w:val="22"/>
                <w:lang w:eastAsia="en-GB"/>
              </w:rPr>
            </w:pPr>
            <w:r w:rsidRPr="008C0F4A">
              <w:rPr>
                <w:rFonts w:cs="Arial"/>
                <w:sz w:val="22"/>
                <w:szCs w:val="22"/>
                <w:lang w:eastAsia="en-GB"/>
              </w:rPr>
              <w:t xml:space="preserve"> </w:t>
            </w:r>
          </w:p>
        </w:tc>
        <w:tc>
          <w:tcPr>
            <w:tcW w:w="1476" w:type="dxa"/>
            <w:gridSpan w:val="2"/>
            <w:tcBorders>
              <w:top w:val="nil"/>
              <w:left w:val="nil"/>
              <w:bottom w:val="nil"/>
              <w:right w:val="single" w:sz="8" w:space="0" w:color="auto"/>
            </w:tcBorders>
            <w:shd w:val="clear" w:color="000000" w:fill="FFFFFF"/>
            <w:noWrap/>
            <w:vAlign w:val="bottom"/>
            <w:hideMark/>
          </w:tcPr>
          <w:p w14:paraId="28469507"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339E3460"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64EBF574" w14:textId="77777777" w:rsidR="008C0F4A" w:rsidRPr="008C0F4A" w:rsidRDefault="008C0F4A" w:rsidP="008C0F4A">
            <w:pPr>
              <w:rPr>
                <w:rFonts w:cs="Arial"/>
                <w:b/>
                <w:bCs/>
                <w:sz w:val="22"/>
                <w:szCs w:val="22"/>
                <w:lang w:eastAsia="en-GB"/>
              </w:rPr>
            </w:pPr>
            <w:r w:rsidRPr="008C0F4A">
              <w:rPr>
                <w:rFonts w:cs="Arial"/>
                <w:b/>
                <w:bCs/>
                <w:sz w:val="22"/>
                <w:szCs w:val="22"/>
                <w:lang w:eastAsia="en-GB"/>
              </w:rPr>
              <w:t> </w:t>
            </w:r>
          </w:p>
        </w:tc>
        <w:tc>
          <w:tcPr>
            <w:tcW w:w="2096" w:type="dxa"/>
            <w:tcBorders>
              <w:top w:val="nil"/>
              <w:left w:val="nil"/>
              <w:bottom w:val="nil"/>
              <w:right w:val="nil"/>
            </w:tcBorders>
            <w:shd w:val="clear" w:color="000000" w:fill="BFBFBF"/>
            <w:noWrap/>
            <w:vAlign w:val="bottom"/>
            <w:hideMark/>
          </w:tcPr>
          <w:p w14:paraId="4B345495" w14:textId="77777777" w:rsidR="008C0F4A" w:rsidRPr="008C0F4A" w:rsidRDefault="008C0F4A" w:rsidP="008C0F4A">
            <w:pPr>
              <w:jc w:val="right"/>
              <w:rPr>
                <w:rFonts w:cs="Arial"/>
                <w:sz w:val="22"/>
                <w:szCs w:val="22"/>
                <w:lang w:eastAsia="en-GB"/>
              </w:rPr>
            </w:pPr>
            <w:r w:rsidRPr="008C0F4A">
              <w:rPr>
                <w:rFonts w:cs="Arial"/>
                <w:sz w:val="22"/>
                <w:szCs w:val="22"/>
                <w:lang w:eastAsia="en-GB"/>
              </w:rPr>
              <w:t>-257,390</w:t>
            </w:r>
          </w:p>
        </w:tc>
        <w:tc>
          <w:tcPr>
            <w:tcW w:w="816" w:type="dxa"/>
            <w:tcBorders>
              <w:top w:val="nil"/>
              <w:left w:val="nil"/>
              <w:bottom w:val="nil"/>
              <w:right w:val="nil"/>
            </w:tcBorders>
            <w:shd w:val="clear" w:color="000000" w:fill="FFFFFF"/>
            <w:noWrap/>
            <w:vAlign w:val="bottom"/>
            <w:hideMark/>
          </w:tcPr>
          <w:p w14:paraId="319DB21E" w14:textId="77777777" w:rsidR="008C0F4A" w:rsidRPr="008C0F4A" w:rsidRDefault="008C0F4A" w:rsidP="008C0F4A">
            <w:pPr>
              <w:jc w:val="center"/>
              <w:rPr>
                <w:rFonts w:cs="Arial"/>
                <w:sz w:val="22"/>
                <w:szCs w:val="22"/>
                <w:lang w:eastAsia="en-GB"/>
              </w:rPr>
            </w:pPr>
            <w:r w:rsidRPr="008C0F4A">
              <w:rPr>
                <w:rFonts w:cs="Arial"/>
                <w:sz w:val="22"/>
                <w:szCs w:val="22"/>
                <w:lang w:eastAsia="en-GB"/>
              </w:rPr>
              <w:t>r</w:t>
            </w:r>
          </w:p>
        </w:tc>
        <w:tc>
          <w:tcPr>
            <w:tcW w:w="1476" w:type="dxa"/>
            <w:gridSpan w:val="2"/>
            <w:tcBorders>
              <w:top w:val="nil"/>
              <w:left w:val="nil"/>
              <w:bottom w:val="nil"/>
              <w:right w:val="single" w:sz="8" w:space="0" w:color="auto"/>
            </w:tcBorders>
            <w:shd w:val="clear" w:color="000000" w:fill="FFFFFF"/>
            <w:noWrap/>
            <w:vAlign w:val="bottom"/>
            <w:hideMark/>
          </w:tcPr>
          <w:p w14:paraId="09C70883"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5FEAA898"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574C15D9" w14:textId="77777777" w:rsidR="008C0F4A" w:rsidRPr="008C0F4A" w:rsidRDefault="008C0F4A" w:rsidP="008C0F4A">
            <w:pPr>
              <w:rPr>
                <w:rFonts w:cs="Arial"/>
                <w:b/>
                <w:bCs/>
                <w:sz w:val="22"/>
                <w:szCs w:val="22"/>
                <w:lang w:eastAsia="en-GB"/>
              </w:rPr>
            </w:pPr>
            <w:r w:rsidRPr="008C0F4A">
              <w:rPr>
                <w:rFonts w:cs="Arial"/>
                <w:b/>
                <w:bCs/>
                <w:sz w:val="22"/>
                <w:szCs w:val="22"/>
                <w:lang w:eastAsia="en-GB"/>
              </w:rPr>
              <w:t> </w:t>
            </w:r>
          </w:p>
        </w:tc>
        <w:tc>
          <w:tcPr>
            <w:tcW w:w="2096" w:type="dxa"/>
            <w:tcBorders>
              <w:top w:val="nil"/>
              <w:left w:val="nil"/>
              <w:bottom w:val="nil"/>
              <w:right w:val="nil"/>
            </w:tcBorders>
            <w:shd w:val="clear" w:color="000000" w:fill="FFFFFF"/>
            <w:noWrap/>
            <w:vAlign w:val="bottom"/>
            <w:hideMark/>
          </w:tcPr>
          <w:p w14:paraId="1CEF10E8"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816" w:type="dxa"/>
            <w:tcBorders>
              <w:top w:val="nil"/>
              <w:left w:val="nil"/>
              <w:bottom w:val="nil"/>
              <w:right w:val="nil"/>
            </w:tcBorders>
            <w:shd w:val="clear" w:color="000000" w:fill="FFFFFF"/>
            <w:noWrap/>
            <w:vAlign w:val="bottom"/>
            <w:hideMark/>
          </w:tcPr>
          <w:p w14:paraId="1A685D6A" w14:textId="77777777" w:rsidR="008C0F4A" w:rsidRPr="008C0F4A" w:rsidRDefault="008C0F4A" w:rsidP="008C0F4A">
            <w:pPr>
              <w:jc w:val="center"/>
              <w:rPr>
                <w:rFonts w:cs="Arial"/>
                <w:sz w:val="22"/>
                <w:szCs w:val="22"/>
                <w:lang w:eastAsia="en-GB"/>
              </w:rPr>
            </w:pPr>
            <w:r w:rsidRPr="008C0F4A">
              <w:rPr>
                <w:rFonts w:cs="Arial"/>
                <w:sz w:val="22"/>
                <w:szCs w:val="22"/>
                <w:lang w:eastAsia="en-GB"/>
              </w:rPr>
              <w:t xml:space="preserve"> </w:t>
            </w:r>
          </w:p>
        </w:tc>
        <w:tc>
          <w:tcPr>
            <w:tcW w:w="1476" w:type="dxa"/>
            <w:gridSpan w:val="2"/>
            <w:tcBorders>
              <w:top w:val="nil"/>
              <w:left w:val="nil"/>
              <w:bottom w:val="nil"/>
              <w:right w:val="single" w:sz="8" w:space="0" w:color="auto"/>
            </w:tcBorders>
            <w:shd w:val="clear" w:color="000000" w:fill="FFFFFF"/>
            <w:noWrap/>
            <w:vAlign w:val="bottom"/>
            <w:hideMark/>
          </w:tcPr>
          <w:p w14:paraId="30D469C6"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62552518"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D8E4BC"/>
            <w:noWrap/>
            <w:vAlign w:val="bottom"/>
            <w:hideMark/>
          </w:tcPr>
          <w:p w14:paraId="4852BCFD" w14:textId="77777777" w:rsidR="008C0F4A" w:rsidRPr="008C0F4A" w:rsidRDefault="008C0F4A" w:rsidP="008C0F4A">
            <w:pPr>
              <w:rPr>
                <w:rFonts w:cs="Arial"/>
                <w:b/>
                <w:bCs/>
                <w:sz w:val="22"/>
                <w:szCs w:val="22"/>
                <w:lang w:eastAsia="en-GB"/>
              </w:rPr>
            </w:pPr>
            <w:r w:rsidRPr="008C0F4A">
              <w:rPr>
                <w:rFonts w:cs="Arial"/>
                <w:b/>
                <w:bCs/>
                <w:sz w:val="22"/>
                <w:szCs w:val="22"/>
                <w:lang w:eastAsia="en-GB"/>
              </w:rPr>
              <w:t>Projected contribution to the pool</w:t>
            </w:r>
          </w:p>
        </w:tc>
        <w:tc>
          <w:tcPr>
            <w:tcW w:w="2096" w:type="dxa"/>
            <w:tcBorders>
              <w:top w:val="nil"/>
              <w:left w:val="nil"/>
              <w:bottom w:val="nil"/>
              <w:right w:val="nil"/>
            </w:tcBorders>
            <w:shd w:val="clear" w:color="000000" w:fill="D8E4BC"/>
            <w:noWrap/>
            <w:vAlign w:val="bottom"/>
            <w:hideMark/>
          </w:tcPr>
          <w:p w14:paraId="292913B9" w14:textId="77777777" w:rsidR="008C0F4A" w:rsidRPr="008C0F4A" w:rsidRDefault="008C0F4A" w:rsidP="008C0F4A">
            <w:pPr>
              <w:jc w:val="right"/>
              <w:rPr>
                <w:rFonts w:cs="Arial"/>
                <w:b/>
                <w:bCs/>
                <w:sz w:val="22"/>
                <w:szCs w:val="22"/>
                <w:lang w:eastAsia="en-GB"/>
              </w:rPr>
            </w:pPr>
            <w:r w:rsidRPr="008C0F4A">
              <w:rPr>
                <w:rFonts w:cs="Arial"/>
                <w:b/>
                <w:bCs/>
                <w:sz w:val="22"/>
                <w:szCs w:val="22"/>
                <w:lang w:eastAsia="en-GB"/>
              </w:rPr>
              <w:t>58,224,463</w:t>
            </w:r>
          </w:p>
        </w:tc>
        <w:tc>
          <w:tcPr>
            <w:tcW w:w="816" w:type="dxa"/>
            <w:tcBorders>
              <w:top w:val="nil"/>
              <w:left w:val="nil"/>
              <w:bottom w:val="nil"/>
              <w:right w:val="nil"/>
            </w:tcBorders>
            <w:shd w:val="clear" w:color="000000" w:fill="D8E4BC"/>
            <w:noWrap/>
            <w:vAlign w:val="bottom"/>
            <w:hideMark/>
          </w:tcPr>
          <w:p w14:paraId="27E66392" w14:textId="77777777" w:rsidR="008C0F4A" w:rsidRPr="008C0F4A" w:rsidRDefault="008C0F4A" w:rsidP="008C0F4A">
            <w:pPr>
              <w:jc w:val="center"/>
              <w:rPr>
                <w:rFonts w:cs="Arial"/>
                <w:sz w:val="22"/>
                <w:szCs w:val="22"/>
                <w:lang w:eastAsia="en-GB"/>
              </w:rPr>
            </w:pPr>
            <w:r w:rsidRPr="008C0F4A">
              <w:rPr>
                <w:rFonts w:cs="Arial"/>
                <w:sz w:val="22"/>
                <w:szCs w:val="22"/>
                <w:lang w:eastAsia="en-GB"/>
              </w:rPr>
              <w:t>s</w:t>
            </w:r>
          </w:p>
        </w:tc>
        <w:tc>
          <w:tcPr>
            <w:tcW w:w="1476" w:type="dxa"/>
            <w:gridSpan w:val="2"/>
            <w:tcBorders>
              <w:top w:val="nil"/>
              <w:left w:val="nil"/>
              <w:bottom w:val="nil"/>
              <w:right w:val="single" w:sz="8" w:space="0" w:color="auto"/>
            </w:tcBorders>
            <w:shd w:val="clear" w:color="000000" w:fill="D8E4BC"/>
            <w:noWrap/>
            <w:vAlign w:val="bottom"/>
            <w:hideMark/>
          </w:tcPr>
          <w:p w14:paraId="4C8696D4" w14:textId="77777777" w:rsidR="008C0F4A" w:rsidRPr="008C0F4A" w:rsidRDefault="008C0F4A" w:rsidP="008C0F4A">
            <w:pPr>
              <w:jc w:val="right"/>
              <w:rPr>
                <w:rFonts w:cs="Arial"/>
                <w:sz w:val="22"/>
                <w:szCs w:val="22"/>
                <w:lang w:eastAsia="en-GB"/>
              </w:rPr>
            </w:pPr>
            <w:r w:rsidRPr="008C0F4A">
              <w:rPr>
                <w:rFonts w:cs="Arial"/>
                <w:sz w:val="22"/>
                <w:szCs w:val="22"/>
                <w:lang w:eastAsia="en-GB"/>
              </w:rPr>
              <w:t>e-h-k-n-q-r</w:t>
            </w:r>
          </w:p>
        </w:tc>
      </w:tr>
      <w:tr w:rsidR="008C0F4A" w:rsidRPr="008C0F4A" w14:paraId="2969A95A"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300"/>
        </w:trPr>
        <w:tc>
          <w:tcPr>
            <w:tcW w:w="5816" w:type="dxa"/>
            <w:gridSpan w:val="3"/>
            <w:tcBorders>
              <w:top w:val="nil"/>
              <w:left w:val="single" w:sz="8" w:space="0" w:color="auto"/>
              <w:bottom w:val="nil"/>
              <w:right w:val="nil"/>
            </w:tcBorders>
            <w:shd w:val="clear" w:color="000000" w:fill="FFFFFF"/>
            <w:noWrap/>
            <w:vAlign w:val="bottom"/>
            <w:hideMark/>
          </w:tcPr>
          <w:p w14:paraId="777D0100" w14:textId="77777777" w:rsidR="008C0F4A" w:rsidRPr="008C0F4A" w:rsidRDefault="008C0F4A" w:rsidP="008C0F4A">
            <w:pPr>
              <w:rPr>
                <w:rFonts w:cs="Arial"/>
                <w:sz w:val="22"/>
                <w:szCs w:val="22"/>
                <w:lang w:eastAsia="en-GB"/>
              </w:rPr>
            </w:pPr>
            <w:r w:rsidRPr="008C0F4A">
              <w:rPr>
                <w:rFonts w:cs="Arial"/>
                <w:sz w:val="22"/>
                <w:szCs w:val="22"/>
                <w:lang w:eastAsia="en-GB"/>
              </w:rPr>
              <w:t>Losses in collection 2%</w:t>
            </w:r>
          </w:p>
        </w:tc>
        <w:tc>
          <w:tcPr>
            <w:tcW w:w="2096" w:type="dxa"/>
            <w:tcBorders>
              <w:top w:val="nil"/>
              <w:left w:val="nil"/>
              <w:bottom w:val="nil"/>
              <w:right w:val="nil"/>
            </w:tcBorders>
            <w:shd w:val="clear" w:color="000000" w:fill="FFFFFF"/>
            <w:noWrap/>
            <w:vAlign w:val="bottom"/>
            <w:hideMark/>
          </w:tcPr>
          <w:p w14:paraId="119C63CD" w14:textId="77777777" w:rsidR="008C0F4A" w:rsidRPr="008C0F4A" w:rsidRDefault="008C0F4A" w:rsidP="008C0F4A">
            <w:pPr>
              <w:jc w:val="right"/>
              <w:rPr>
                <w:rFonts w:cs="Arial"/>
                <w:sz w:val="22"/>
                <w:szCs w:val="22"/>
                <w:lang w:eastAsia="en-GB"/>
              </w:rPr>
            </w:pPr>
            <w:r w:rsidRPr="008C0F4A">
              <w:rPr>
                <w:rFonts w:cs="Arial"/>
                <w:sz w:val="22"/>
                <w:szCs w:val="22"/>
                <w:lang w:eastAsia="en-GB"/>
              </w:rPr>
              <w:t>1,164,489</w:t>
            </w:r>
          </w:p>
        </w:tc>
        <w:tc>
          <w:tcPr>
            <w:tcW w:w="816" w:type="dxa"/>
            <w:tcBorders>
              <w:top w:val="nil"/>
              <w:left w:val="nil"/>
              <w:bottom w:val="nil"/>
              <w:right w:val="nil"/>
            </w:tcBorders>
            <w:shd w:val="clear" w:color="000000" w:fill="FFFFFF"/>
            <w:noWrap/>
            <w:vAlign w:val="bottom"/>
            <w:hideMark/>
          </w:tcPr>
          <w:p w14:paraId="37AD5A42" w14:textId="77777777" w:rsidR="008C0F4A" w:rsidRPr="008C0F4A" w:rsidRDefault="008C0F4A" w:rsidP="008C0F4A">
            <w:pPr>
              <w:jc w:val="center"/>
              <w:rPr>
                <w:rFonts w:cs="Arial"/>
                <w:sz w:val="22"/>
                <w:szCs w:val="22"/>
                <w:lang w:eastAsia="en-GB"/>
              </w:rPr>
            </w:pPr>
            <w:r w:rsidRPr="008C0F4A">
              <w:rPr>
                <w:rFonts w:cs="Arial"/>
                <w:sz w:val="22"/>
                <w:szCs w:val="22"/>
                <w:lang w:eastAsia="en-GB"/>
              </w:rPr>
              <w:t>t</w:t>
            </w:r>
          </w:p>
        </w:tc>
        <w:tc>
          <w:tcPr>
            <w:tcW w:w="1476" w:type="dxa"/>
            <w:gridSpan w:val="2"/>
            <w:tcBorders>
              <w:top w:val="nil"/>
              <w:left w:val="nil"/>
              <w:bottom w:val="nil"/>
              <w:right w:val="single" w:sz="8" w:space="0" w:color="auto"/>
            </w:tcBorders>
            <w:shd w:val="clear" w:color="000000" w:fill="FFFFFF"/>
            <w:noWrap/>
            <w:vAlign w:val="bottom"/>
            <w:hideMark/>
          </w:tcPr>
          <w:p w14:paraId="106C64F4" w14:textId="77777777" w:rsidR="008C0F4A" w:rsidRPr="008C0F4A" w:rsidRDefault="008C0F4A" w:rsidP="008C0F4A">
            <w:pPr>
              <w:jc w:val="right"/>
              <w:rPr>
                <w:rFonts w:cs="Arial"/>
                <w:sz w:val="22"/>
                <w:szCs w:val="22"/>
                <w:lang w:eastAsia="en-GB"/>
              </w:rPr>
            </w:pPr>
            <w:r w:rsidRPr="008C0F4A">
              <w:rPr>
                <w:rFonts w:cs="Arial"/>
                <w:sz w:val="22"/>
                <w:szCs w:val="22"/>
                <w:lang w:eastAsia="en-GB"/>
              </w:rPr>
              <w:t> </w:t>
            </w:r>
          </w:p>
        </w:tc>
      </w:tr>
      <w:tr w:rsidR="008C0F4A" w:rsidRPr="008C0F4A" w14:paraId="4E1DAD00"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300"/>
        </w:trPr>
        <w:tc>
          <w:tcPr>
            <w:tcW w:w="5816" w:type="dxa"/>
            <w:gridSpan w:val="3"/>
            <w:tcBorders>
              <w:top w:val="nil"/>
              <w:left w:val="single" w:sz="8" w:space="0" w:color="auto"/>
              <w:bottom w:val="nil"/>
              <w:right w:val="nil"/>
            </w:tcBorders>
            <w:shd w:val="clear" w:color="000000" w:fill="FFFFFF"/>
            <w:noWrap/>
            <w:vAlign w:val="bottom"/>
            <w:hideMark/>
          </w:tcPr>
          <w:p w14:paraId="5592AAD3" w14:textId="77777777" w:rsidR="008C0F4A" w:rsidRPr="008C0F4A" w:rsidRDefault="008C0F4A" w:rsidP="008C0F4A">
            <w:pPr>
              <w:rPr>
                <w:rFonts w:cs="Arial"/>
                <w:sz w:val="22"/>
                <w:szCs w:val="22"/>
                <w:lang w:eastAsia="en-GB"/>
              </w:rPr>
            </w:pPr>
            <w:r w:rsidRPr="008C0F4A">
              <w:rPr>
                <w:rFonts w:cs="Arial"/>
                <w:sz w:val="22"/>
                <w:szCs w:val="22"/>
                <w:lang w:eastAsia="en-GB"/>
              </w:rPr>
              <w:t xml:space="preserve">Losses due to appeals </w:t>
            </w:r>
          </w:p>
        </w:tc>
        <w:tc>
          <w:tcPr>
            <w:tcW w:w="2096" w:type="dxa"/>
            <w:tcBorders>
              <w:top w:val="nil"/>
              <w:left w:val="nil"/>
              <w:bottom w:val="nil"/>
              <w:right w:val="nil"/>
            </w:tcBorders>
            <w:shd w:val="clear" w:color="000000" w:fill="FFFFFF"/>
            <w:noWrap/>
            <w:vAlign w:val="bottom"/>
            <w:hideMark/>
          </w:tcPr>
          <w:p w14:paraId="76B04547" w14:textId="77777777" w:rsidR="008C0F4A" w:rsidRPr="008C0F4A" w:rsidRDefault="008C0F4A" w:rsidP="008C0F4A">
            <w:pPr>
              <w:jc w:val="right"/>
              <w:rPr>
                <w:rFonts w:cs="Arial"/>
                <w:sz w:val="22"/>
                <w:szCs w:val="22"/>
                <w:lang w:eastAsia="en-GB"/>
              </w:rPr>
            </w:pPr>
            <w:r w:rsidRPr="008C0F4A">
              <w:rPr>
                <w:rFonts w:cs="Arial"/>
                <w:sz w:val="22"/>
                <w:szCs w:val="22"/>
                <w:lang w:eastAsia="en-GB"/>
              </w:rPr>
              <w:t>2,500,000</w:t>
            </w:r>
          </w:p>
        </w:tc>
        <w:tc>
          <w:tcPr>
            <w:tcW w:w="816" w:type="dxa"/>
            <w:tcBorders>
              <w:top w:val="nil"/>
              <w:left w:val="nil"/>
              <w:bottom w:val="nil"/>
              <w:right w:val="nil"/>
            </w:tcBorders>
            <w:shd w:val="clear" w:color="000000" w:fill="FFFFFF"/>
            <w:noWrap/>
            <w:vAlign w:val="bottom"/>
            <w:hideMark/>
          </w:tcPr>
          <w:p w14:paraId="635EB2D2" w14:textId="77777777" w:rsidR="008C0F4A" w:rsidRPr="008C0F4A" w:rsidRDefault="008C0F4A" w:rsidP="008C0F4A">
            <w:pPr>
              <w:jc w:val="center"/>
              <w:rPr>
                <w:rFonts w:cs="Arial"/>
                <w:sz w:val="22"/>
                <w:szCs w:val="22"/>
                <w:lang w:eastAsia="en-GB"/>
              </w:rPr>
            </w:pPr>
            <w:r w:rsidRPr="008C0F4A">
              <w:rPr>
                <w:rFonts w:cs="Arial"/>
                <w:sz w:val="22"/>
                <w:szCs w:val="22"/>
                <w:lang w:eastAsia="en-GB"/>
              </w:rPr>
              <w:t>u</w:t>
            </w:r>
          </w:p>
        </w:tc>
        <w:tc>
          <w:tcPr>
            <w:tcW w:w="1476" w:type="dxa"/>
            <w:gridSpan w:val="2"/>
            <w:tcBorders>
              <w:top w:val="nil"/>
              <w:left w:val="nil"/>
              <w:bottom w:val="nil"/>
              <w:right w:val="single" w:sz="8" w:space="0" w:color="auto"/>
            </w:tcBorders>
            <w:shd w:val="clear" w:color="000000" w:fill="FFFFFF"/>
            <w:noWrap/>
            <w:vAlign w:val="bottom"/>
            <w:hideMark/>
          </w:tcPr>
          <w:p w14:paraId="42FF1036"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0672A0DE"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300"/>
        </w:trPr>
        <w:tc>
          <w:tcPr>
            <w:tcW w:w="5816" w:type="dxa"/>
            <w:gridSpan w:val="3"/>
            <w:tcBorders>
              <w:top w:val="nil"/>
              <w:left w:val="single" w:sz="8" w:space="0" w:color="auto"/>
              <w:bottom w:val="nil"/>
              <w:right w:val="nil"/>
            </w:tcBorders>
            <w:shd w:val="clear" w:color="000000" w:fill="FFFFFF"/>
            <w:noWrap/>
            <w:vAlign w:val="bottom"/>
            <w:hideMark/>
          </w:tcPr>
          <w:p w14:paraId="6382BA7B" w14:textId="77777777" w:rsidR="008C0F4A" w:rsidRPr="008C0F4A" w:rsidRDefault="008C0F4A" w:rsidP="008C0F4A">
            <w:pPr>
              <w:rPr>
                <w:rFonts w:cs="Arial"/>
                <w:sz w:val="22"/>
                <w:szCs w:val="22"/>
                <w:lang w:eastAsia="en-GB"/>
              </w:rPr>
            </w:pPr>
            <w:r w:rsidRPr="008C0F4A">
              <w:rPr>
                <w:rFonts w:cs="Arial"/>
                <w:sz w:val="22"/>
                <w:szCs w:val="22"/>
                <w:lang w:eastAsia="en-GB"/>
              </w:rPr>
              <w:t>Losses due to Enterprise Zones</w:t>
            </w:r>
          </w:p>
        </w:tc>
        <w:tc>
          <w:tcPr>
            <w:tcW w:w="2096" w:type="dxa"/>
            <w:tcBorders>
              <w:top w:val="nil"/>
              <w:left w:val="nil"/>
              <w:bottom w:val="nil"/>
              <w:right w:val="nil"/>
            </w:tcBorders>
            <w:shd w:val="clear" w:color="000000" w:fill="FFFFFF"/>
            <w:noWrap/>
            <w:vAlign w:val="bottom"/>
            <w:hideMark/>
          </w:tcPr>
          <w:p w14:paraId="2938E696" w14:textId="77777777" w:rsidR="008C0F4A" w:rsidRPr="008C0F4A" w:rsidRDefault="008C0F4A" w:rsidP="008C0F4A">
            <w:pPr>
              <w:jc w:val="right"/>
              <w:rPr>
                <w:rFonts w:cs="Arial"/>
                <w:sz w:val="22"/>
                <w:szCs w:val="22"/>
                <w:lang w:eastAsia="en-GB"/>
              </w:rPr>
            </w:pPr>
            <w:r w:rsidRPr="008C0F4A">
              <w:rPr>
                <w:rFonts w:cs="Arial"/>
                <w:sz w:val="22"/>
                <w:szCs w:val="22"/>
                <w:lang w:eastAsia="en-GB"/>
              </w:rPr>
              <w:t>0</w:t>
            </w:r>
          </w:p>
        </w:tc>
        <w:tc>
          <w:tcPr>
            <w:tcW w:w="816" w:type="dxa"/>
            <w:tcBorders>
              <w:top w:val="nil"/>
              <w:left w:val="nil"/>
              <w:bottom w:val="nil"/>
              <w:right w:val="nil"/>
            </w:tcBorders>
            <w:shd w:val="clear" w:color="000000" w:fill="FFFFFF"/>
            <w:noWrap/>
            <w:vAlign w:val="bottom"/>
            <w:hideMark/>
          </w:tcPr>
          <w:p w14:paraId="06F2E389" w14:textId="77777777" w:rsidR="008C0F4A" w:rsidRPr="008C0F4A" w:rsidRDefault="008C0F4A" w:rsidP="008C0F4A">
            <w:pPr>
              <w:jc w:val="center"/>
              <w:rPr>
                <w:rFonts w:cs="Arial"/>
                <w:sz w:val="22"/>
                <w:szCs w:val="22"/>
                <w:lang w:eastAsia="en-GB"/>
              </w:rPr>
            </w:pPr>
            <w:r w:rsidRPr="008C0F4A">
              <w:rPr>
                <w:rFonts w:cs="Arial"/>
                <w:sz w:val="22"/>
                <w:szCs w:val="22"/>
                <w:lang w:eastAsia="en-GB"/>
              </w:rPr>
              <w:t>v</w:t>
            </w:r>
          </w:p>
        </w:tc>
        <w:tc>
          <w:tcPr>
            <w:tcW w:w="1476" w:type="dxa"/>
            <w:gridSpan w:val="2"/>
            <w:tcBorders>
              <w:top w:val="nil"/>
              <w:left w:val="nil"/>
              <w:bottom w:val="nil"/>
              <w:right w:val="single" w:sz="8" w:space="0" w:color="auto"/>
            </w:tcBorders>
            <w:shd w:val="clear" w:color="000000" w:fill="FFFFFF"/>
            <w:noWrap/>
            <w:vAlign w:val="bottom"/>
            <w:hideMark/>
          </w:tcPr>
          <w:p w14:paraId="2F0FA67C"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4676320A"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300"/>
        </w:trPr>
        <w:tc>
          <w:tcPr>
            <w:tcW w:w="5816" w:type="dxa"/>
            <w:gridSpan w:val="3"/>
            <w:tcBorders>
              <w:top w:val="nil"/>
              <w:left w:val="single" w:sz="8" w:space="0" w:color="auto"/>
              <w:bottom w:val="nil"/>
              <w:right w:val="nil"/>
            </w:tcBorders>
            <w:shd w:val="clear" w:color="000000" w:fill="FFFFFF"/>
            <w:noWrap/>
            <w:vAlign w:val="bottom"/>
            <w:hideMark/>
          </w:tcPr>
          <w:p w14:paraId="76921280" w14:textId="77777777" w:rsidR="008C0F4A" w:rsidRPr="008C0F4A" w:rsidRDefault="008C0F4A" w:rsidP="008C0F4A">
            <w:pPr>
              <w:rPr>
                <w:rFonts w:cs="Arial"/>
                <w:sz w:val="22"/>
                <w:szCs w:val="22"/>
                <w:lang w:eastAsia="en-GB"/>
              </w:rPr>
            </w:pPr>
            <w:r w:rsidRPr="008C0F4A">
              <w:rPr>
                <w:rFonts w:cs="Arial"/>
                <w:sz w:val="22"/>
                <w:szCs w:val="22"/>
                <w:lang w:eastAsia="en-GB"/>
              </w:rPr>
              <w:t>Gain due to Renewable Energy schemes</w:t>
            </w:r>
          </w:p>
        </w:tc>
        <w:tc>
          <w:tcPr>
            <w:tcW w:w="2096" w:type="dxa"/>
            <w:tcBorders>
              <w:top w:val="nil"/>
              <w:left w:val="nil"/>
              <w:bottom w:val="nil"/>
              <w:right w:val="nil"/>
            </w:tcBorders>
            <w:shd w:val="clear" w:color="000000" w:fill="FFFFFF"/>
            <w:noWrap/>
            <w:vAlign w:val="bottom"/>
            <w:hideMark/>
          </w:tcPr>
          <w:p w14:paraId="5CDCBEFF" w14:textId="77777777" w:rsidR="008C0F4A" w:rsidRPr="008C0F4A" w:rsidRDefault="008C0F4A" w:rsidP="008C0F4A">
            <w:pPr>
              <w:jc w:val="right"/>
              <w:rPr>
                <w:rFonts w:cs="Arial"/>
                <w:sz w:val="22"/>
                <w:szCs w:val="22"/>
                <w:lang w:eastAsia="en-GB"/>
              </w:rPr>
            </w:pPr>
            <w:r w:rsidRPr="008C0F4A">
              <w:rPr>
                <w:rFonts w:cs="Arial"/>
                <w:sz w:val="22"/>
                <w:szCs w:val="22"/>
                <w:lang w:eastAsia="en-GB"/>
              </w:rPr>
              <w:t>0</w:t>
            </w:r>
          </w:p>
        </w:tc>
        <w:tc>
          <w:tcPr>
            <w:tcW w:w="816" w:type="dxa"/>
            <w:tcBorders>
              <w:top w:val="nil"/>
              <w:left w:val="nil"/>
              <w:bottom w:val="nil"/>
              <w:right w:val="nil"/>
            </w:tcBorders>
            <w:shd w:val="clear" w:color="000000" w:fill="FFFFFF"/>
            <w:noWrap/>
            <w:vAlign w:val="bottom"/>
            <w:hideMark/>
          </w:tcPr>
          <w:p w14:paraId="1B981847" w14:textId="77777777" w:rsidR="008C0F4A" w:rsidRPr="008C0F4A" w:rsidRDefault="008C0F4A" w:rsidP="008C0F4A">
            <w:pPr>
              <w:jc w:val="center"/>
              <w:rPr>
                <w:rFonts w:cs="Arial"/>
                <w:sz w:val="22"/>
                <w:szCs w:val="22"/>
                <w:lang w:eastAsia="en-GB"/>
              </w:rPr>
            </w:pPr>
            <w:r w:rsidRPr="008C0F4A">
              <w:rPr>
                <w:rFonts w:cs="Arial"/>
                <w:sz w:val="22"/>
                <w:szCs w:val="22"/>
                <w:lang w:eastAsia="en-GB"/>
              </w:rPr>
              <w:t>w</w:t>
            </w:r>
          </w:p>
        </w:tc>
        <w:tc>
          <w:tcPr>
            <w:tcW w:w="1476" w:type="dxa"/>
            <w:gridSpan w:val="2"/>
            <w:tcBorders>
              <w:top w:val="nil"/>
              <w:left w:val="nil"/>
              <w:bottom w:val="nil"/>
              <w:right w:val="single" w:sz="8" w:space="0" w:color="auto"/>
            </w:tcBorders>
            <w:shd w:val="clear" w:color="000000" w:fill="FFFFFF"/>
            <w:noWrap/>
            <w:vAlign w:val="bottom"/>
            <w:hideMark/>
          </w:tcPr>
          <w:p w14:paraId="34E814E4"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5CD7A14F"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3F6A80DA" w14:textId="77777777" w:rsidR="008C0F4A" w:rsidRPr="008C0F4A" w:rsidRDefault="008C0F4A" w:rsidP="008C0F4A">
            <w:pPr>
              <w:rPr>
                <w:rFonts w:cs="Arial"/>
                <w:sz w:val="22"/>
                <w:szCs w:val="22"/>
                <w:lang w:eastAsia="en-GB"/>
              </w:rPr>
            </w:pPr>
            <w:r w:rsidRPr="008C0F4A">
              <w:rPr>
                <w:rFonts w:cs="Arial"/>
                <w:sz w:val="22"/>
                <w:szCs w:val="22"/>
                <w:lang w:eastAsia="en-GB"/>
              </w:rPr>
              <w:t>Gain due to New Developments</w:t>
            </w:r>
          </w:p>
        </w:tc>
        <w:tc>
          <w:tcPr>
            <w:tcW w:w="2096" w:type="dxa"/>
            <w:tcBorders>
              <w:top w:val="nil"/>
              <w:left w:val="nil"/>
              <w:bottom w:val="nil"/>
              <w:right w:val="nil"/>
            </w:tcBorders>
            <w:shd w:val="clear" w:color="000000" w:fill="FFFFFF"/>
            <w:noWrap/>
            <w:vAlign w:val="bottom"/>
            <w:hideMark/>
          </w:tcPr>
          <w:p w14:paraId="73DDEF27" w14:textId="77777777" w:rsidR="008C0F4A" w:rsidRPr="008C0F4A" w:rsidRDefault="008C0F4A" w:rsidP="008C0F4A">
            <w:pPr>
              <w:jc w:val="right"/>
              <w:rPr>
                <w:rFonts w:cs="Arial"/>
                <w:sz w:val="22"/>
                <w:szCs w:val="22"/>
                <w:lang w:eastAsia="en-GB"/>
              </w:rPr>
            </w:pPr>
            <w:r w:rsidRPr="008C0F4A">
              <w:rPr>
                <w:rFonts w:cs="Arial"/>
                <w:sz w:val="22"/>
                <w:szCs w:val="22"/>
                <w:lang w:eastAsia="en-GB"/>
              </w:rPr>
              <w:t>0</w:t>
            </w:r>
          </w:p>
        </w:tc>
        <w:tc>
          <w:tcPr>
            <w:tcW w:w="816" w:type="dxa"/>
            <w:tcBorders>
              <w:top w:val="nil"/>
              <w:left w:val="nil"/>
              <w:bottom w:val="nil"/>
              <w:right w:val="nil"/>
            </w:tcBorders>
            <w:shd w:val="clear" w:color="000000" w:fill="FFFFFF"/>
            <w:noWrap/>
            <w:vAlign w:val="bottom"/>
            <w:hideMark/>
          </w:tcPr>
          <w:p w14:paraId="242CA1B5" w14:textId="77777777" w:rsidR="008C0F4A" w:rsidRPr="008C0F4A" w:rsidRDefault="008C0F4A" w:rsidP="008C0F4A">
            <w:pPr>
              <w:jc w:val="center"/>
              <w:rPr>
                <w:rFonts w:cs="Arial"/>
                <w:sz w:val="22"/>
                <w:szCs w:val="22"/>
                <w:lang w:eastAsia="en-GB"/>
              </w:rPr>
            </w:pPr>
            <w:r w:rsidRPr="008C0F4A">
              <w:rPr>
                <w:rFonts w:cs="Arial"/>
                <w:sz w:val="22"/>
                <w:szCs w:val="22"/>
                <w:lang w:eastAsia="en-GB"/>
              </w:rPr>
              <w:t>x</w:t>
            </w:r>
          </w:p>
        </w:tc>
        <w:tc>
          <w:tcPr>
            <w:tcW w:w="1476" w:type="dxa"/>
            <w:gridSpan w:val="2"/>
            <w:tcBorders>
              <w:top w:val="nil"/>
              <w:left w:val="nil"/>
              <w:bottom w:val="nil"/>
              <w:right w:val="single" w:sz="8" w:space="0" w:color="auto"/>
            </w:tcBorders>
            <w:shd w:val="clear" w:color="000000" w:fill="FFFFFF"/>
            <w:noWrap/>
            <w:vAlign w:val="bottom"/>
            <w:hideMark/>
          </w:tcPr>
          <w:p w14:paraId="5F445E04"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243FEA6E"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FFFFF"/>
            <w:noWrap/>
            <w:vAlign w:val="bottom"/>
            <w:hideMark/>
          </w:tcPr>
          <w:p w14:paraId="57543614" w14:textId="77777777" w:rsidR="008C0F4A" w:rsidRPr="008C0F4A" w:rsidRDefault="008C0F4A" w:rsidP="008C0F4A">
            <w:pPr>
              <w:rPr>
                <w:rFonts w:cs="Arial"/>
                <w:sz w:val="22"/>
                <w:szCs w:val="22"/>
                <w:lang w:eastAsia="en-GB"/>
              </w:rPr>
            </w:pPr>
            <w:r w:rsidRPr="008C0F4A">
              <w:rPr>
                <w:rFonts w:cs="Arial"/>
                <w:sz w:val="22"/>
                <w:szCs w:val="22"/>
                <w:lang w:eastAsia="en-GB"/>
              </w:rPr>
              <w:t>Net Transitional relief (gain)   -</w:t>
            </w:r>
            <w:r w:rsidRPr="008C0F4A">
              <w:rPr>
                <w:rFonts w:cs="Arial"/>
                <w:b/>
                <w:bCs/>
                <w:sz w:val="22"/>
                <w:szCs w:val="22"/>
                <w:lang w:eastAsia="en-GB"/>
              </w:rPr>
              <w:t xml:space="preserve"> IGNORE</w:t>
            </w:r>
          </w:p>
        </w:tc>
        <w:tc>
          <w:tcPr>
            <w:tcW w:w="2096" w:type="dxa"/>
            <w:tcBorders>
              <w:top w:val="nil"/>
              <w:left w:val="nil"/>
              <w:bottom w:val="nil"/>
              <w:right w:val="nil"/>
            </w:tcBorders>
            <w:shd w:val="clear" w:color="000000" w:fill="FFFFFF"/>
            <w:noWrap/>
            <w:vAlign w:val="bottom"/>
            <w:hideMark/>
          </w:tcPr>
          <w:p w14:paraId="54AB8A10" w14:textId="77777777" w:rsidR="008C0F4A" w:rsidRPr="008C0F4A" w:rsidRDefault="008C0F4A" w:rsidP="008C0F4A">
            <w:pPr>
              <w:jc w:val="right"/>
              <w:rPr>
                <w:rFonts w:cs="Arial"/>
                <w:sz w:val="22"/>
                <w:szCs w:val="22"/>
                <w:lang w:eastAsia="en-GB"/>
              </w:rPr>
            </w:pPr>
            <w:r w:rsidRPr="008C0F4A">
              <w:rPr>
                <w:rFonts w:cs="Arial"/>
                <w:sz w:val="22"/>
                <w:szCs w:val="22"/>
                <w:lang w:eastAsia="en-GB"/>
              </w:rPr>
              <w:t>0</w:t>
            </w:r>
          </w:p>
        </w:tc>
        <w:tc>
          <w:tcPr>
            <w:tcW w:w="816" w:type="dxa"/>
            <w:tcBorders>
              <w:top w:val="nil"/>
              <w:left w:val="nil"/>
              <w:bottom w:val="nil"/>
              <w:right w:val="nil"/>
            </w:tcBorders>
            <w:shd w:val="clear" w:color="000000" w:fill="FFFFFF"/>
            <w:noWrap/>
            <w:vAlign w:val="bottom"/>
            <w:hideMark/>
          </w:tcPr>
          <w:p w14:paraId="53DC57C3" w14:textId="77777777" w:rsidR="008C0F4A" w:rsidRPr="008C0F4A" w:rsidRDefault="008C0F4A" w:rsidP="008C0F4A">
            <w:pPr>
              <w:jc w:val="center"/>
              <w:rPr>
                <w:rFonts w:cs="Arial"/>
                <w:sz w:val="22"/>
                <w:szCs w:val="22"/>
                <w:lang w:eastAsia="en-GB"/>
              </w:rPr>
            </w:pPr>
            <w:r w:rsidRPr="008C0F4A">
              <w:rPr>
                <w:rFonts w:cs="Arial"/>
                <w:sz w:val="22"/>
                <w:szCs w:val="22"/>
                <w:lang w:eastAsia="en-GB"/>
              </w:rPr>
              <w:t>y</w:t>
            </w:r>
          </w:p>
        </w:tc>
        <w:tc>
          <w:tcPr>
            <w:tcW w:w="1476" w:type="dxa"/>
            <w:gridSpan w:val="2"/>
            <w:tcBorders>
              <w:top w:val="nil"/>
              <w:left w:val="nil"/>
              <w:bottom w:val="nil"/>
              <w:right w:val="single" w:sz="8" w:space="0" w:color="auto"/>
            </w:tcBorders>
            <w:shd w:val="clear" w:color="000000" w:fill="FFFFFF"/>
            <w:noWrap/>
            <w:vAlign w:val="bottom"/>
            <w:hideMark/>
          </w:tcPr>
          <w:p w14:paraId="471FA669"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1B918F42"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00FFFF"/>
            <w:noWrap/>
            <w:vAlign w:val="bottom"/>
            <w:hideMark/>
          </w:tcPr>
          <w:p w14:paraId="43114119" w14:textId="77777777" w:rsidR="008C0F4A" w:rsidRPr="008C0F4A" w:rsidRDefault="008C0F4A" w:rsidP="008C0F4A">
            <w:pPr>
              <w:rPr>
                <w:rFonts w:cs="Arial"/>
                <w:b/>
                <w:bCs/>
                <w:sz w:val="22"/>
                <w:szCs w:val="22"/>
                <w:lang w:eastAsia="en-GB"/>
              </w:rPr>
            </w:pPr>
            <w:r w:rsidRPr="008C0F4A">
              <w:rPr>
                <w:rFonts w:cs="Arial"/>
                <w:b/>
                <w:bCs/>
                <w:sz w:val="22"/>
                <w:szCs w:val="22"/>
                <w:lang w:eastAsia="en-GB"/>
              </w:rPr>
              <w:t>Net contribution to the pool</w:t>
            </w:r>
          </w:p>
        </w:tc>
        <w:tc>
          <w:tcPr>
            <w:tcW w:w="2096" w:type="dxa"/>
            <w:tcBorders>
              <w:top w:val="nil"/>
              <w:left w:val="nil"/>
              <w:bottom w:val="nil"/>
              <w:right w:val="nil"/>
            </w:tcBorders>
            <w:shd w:val="clear" w:color="000000" w:fill="00FFFF"/>
            <w:noWrap/>
            <w:vAlign w:val="bottom"/>
            <w:hideMark/>
          </w:tcPr>
          <w:p w14:paraId="07FB2C55" w14:textId="77777777" w:rsidR="008C0F4A" w:rsidRPr="008C0F4A" w:rsidRDefault="008C0F4A" w:rsidP="008C0F4A">
            <w:pPr>
              <w:jc w:val="right"/>
              <w:rPr>
                <w:rFonts w:cs="Arial"/>
                <w:sz w:val="22"/>
                <w:szCs w:val="22"/>
                <w:lang w:eastAsia="en-GB"/>
              </w:rPr>
            </w:pPr>
            <w:r w:rsidRPr="008C0F4A">
              <w:rPr>
                <w:rFonts w:cs="Arial"/>
                <w:sz w:val="22"/>
                <w:szCs w:val="22"/>
                <w:lang w:eastAsia="en-GB"/>
              </w:rPr>
              <w:t>54,559,974</w:t>
            </w:r>
          </w:p>
        </w:tc>
        <w:tc>
          <w:tcPr>
            <w:tcW w:w="816" w:type="dxa"/>
            <w:tcBorders>
              <w:top w:val="nil"/>
              <w:left w:val="nil"/>
              <w:bottom w:val="nil"/>
              <w:right w:val="nil"/>
            </w:tcBorders>
            <w:shd w:val="clear" w:color="000000" w:fill="00FFFF"/>
            <w:noWrap/>
            <w:vAlign w:val="bottom"/>
            <w:hideMark/>
          </w:tcPr>
          <w:p w14:paraId="49E080F6" w14:textId="77777777" w:rsidR="008C0F4A" w:rsidRPr="008C0F4A" w:rsidRDefault="008C0F4A" w:rsidP="008C0F4A">
            <w:pPr>
              <w:jc w:val="center"/>
              <w:rPr>
                <w:rFonts w:cs="Arial"/>
                <w:b/>
                <w:bCs/>
                <w:sz w:val="22"/>
                <w:szCs w:val="22"/>
                <w:lang w:eastAsia="en-GB"/>
              </w:rPr>
            </w:pPr>
            <w:r w:rsidRPr="008C0F4A">
              <w:rPr>
                <w:rFonts w:cs="Arial"/>
                <w:b/>
                <w:bCs/>
                <w:sz w:val="22"/>
                <w:szCs w:val="22"/>
                <w:lang w:eastAsia="en-GB"/>
              </w:rPr>
              <w:t>z</w:t>
            </w:r>
          </w:p>
        </w:tc>
        <w:tc>
          <w:tcPr>
            <w:tcW w:w="1476" w:type="dxa"/>
            <w:gridSpan w:val="2"/>
            <w:tcBorders>
              <w:top w:val="nil"/>
              <w:left w:val="nil"/>
              <w:bottom w:val="nil"/>
              <w:right w:val="single" w:sz="8" w:space="0" w:color="auto"/>
            </w:tcBorders>
            <w:shd w:val="clear" w:color="000000" w:fill="00FFFF"/>
            <w:noWrap/>
            <w:vAlign w:val="bottom"/>
            <w:hideMark/>
          </w:tcPr>
          <w:p w14:paraId="44C02D2A" w14:textId="77777777" w:rsidR="008C0F4A" w:rsidRPr="008C0F4A" w:rsidRDefault="008C0F4A" w:rsidP="008C0F4A">
            <w:pPr>
              <w:jc w:val="right"/>
              <w:rPr>
                <w:rFonts w:cs="Arial"/>
                <w:b/>
                <w:bCs/>
                <w:sz w:val="22"/>
                <w:szCs w:val="22"/>
                <w:lang w:eastAsia="en-GB"/>
              </w:rPr>
            </w:pPr>
            <w:r w:rsidRPr="008C0F4A">
              <w:rPr>
                <w:rFonts w:cs="Arial"/>
                <w:b/>
                <w:bCs/>
                <w:sz w:val="22"/>
                <w:szCs w:val="22"/>
                <w:lang w:eastAsia="en-GB"/>
              </w:rPr>
              <w:t>s- t-u-v-w-x</w:t>
            </w:r>
          </w:p>
        </w:tc>
      </w:tr>
      <w:tr w:rsidR="008C0F4A" w:rsidRPr="008C0F4A" w14:paraId="0D1FE7BA"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000000" w:fill="FCD5B4"/>
            <w:noWrap/>
            <w:vAlign w:val="bottom"/>
            <w:hideMark/>
          </w:tcPr>
          <w:p w14:paraId="3A319924" w14:textId="77777777" w:rsidR="008C0F4A" w:rsidRPr="008C0F4A" w:rsidRDefault="008C0F4A" w:rsidP="008C0F4A">
            <w:pPr>
              <w:rPr>
                <w:rFonts w:cs="Arial"/>
                <w:b/>
                <w:bCs/>
                <w:sz w:val="20"/>
                <w:lang w:eastAsia="en-GB"/>
              </w:rPr>
            </w:pPr>
            <w:r w:rsidRPr="008C0F4A">
              <w:rPr>
                <w:rFonts w:cs="Arial"/>
                <w:b/>
                <w:bCs/>
                <w:sz w:val="20"/>
                <w:lang w:eastAsia="en-GB"/>
              </w:rPr>
              <w:t xml:space="preserve">Less Other  Reductions - DCLG S31 Initiative 1 Retail Relief </w:t>
            </w:r>
          </w:p>
        </w:tc>
        <w:tc>
          <w:tcPr>
            <w:tcW w:w="2096" w:type="dxa"/>
            <w:tcBorders>
              <w:top w:val="nil"/>
              <w:left w:val="nil"/>
              <w:bottom w:val="nil"/>
              <w:right w:val="nil"/>
            </w:tcBorders>
            <w:shd w:val="clear" w:color="000000" w:fill="FCD5B4"/>
            <w:noWrap/>
            <w:vAlign w:val="bottom"/>
            <w:hideMark/>
          </w:tcPr>
          <w:p w14:paraId="1BCCBC78" w14:textId="77777777" w:rsidR="008C0F4A" w:rsidRPr="008C0F4A" w:rsidRDefault="008C0F4A" w:rsidP="008C0F4A">
            <w:pPr>
              <w:jc w:val="right"/>
              <w:rPr>
                <w:rFonts w:cs="Arial"/>
                <w:sz w:val="22"/>
                <w:szCs w:val="22"/>
                <w:lang w:eastAsia="en-GB"/>
              </w:rPr>
            </w:pPr>
            <w:r w:rsidRPr="008C0F4A">
              <w:rPr>
                <w:rFonts w:cs="Arial"/>
                <w:sz w:val="22"/>
                <w:szCs w:val="22"/>
                <w:lang w:eastAsia="en-GB"/>
              </w:rPr>
              <w:t>12,000,000</w:t>
            </w:r>
          </w:p>
        </w:tc>
        <w:tc>
          <w:tcPr>
            <w:tcW w:w="816" w:type="dxa"/>
            <w:tcBorders>
              <w:top w:val="nil"/>
              <w:left w:val="nil"/>
              <w:bottom w:val="nil"/>
              <w:right w:val="nil"/>
            </w:tcBorders>
            <w:shd w:val="clear" w:color="000000" w:fill="FCD5B4"/>
            <w:noWrap/>
            <w:vAlign w:val="bottom"/>
            <w:hideMark/>
          </w:tcPr>
          <w:p w14:paraId="1866F886" w14:textId="77777777" w:rsidR="008C0F4A" w:rsidRPr="008C0F4A" w:rsidRDefault="008C0F4A" w:rsidP="008C0F4A">
            <w:pPr>
              <w:jc w:val="center"/>
              <w:rPr>
                <w:rFonts w:cs="Arial"/>
                <w:b/>
                <w:bCs/>
                <w:sz w:val="22"/>
                <w:szCs w:val="22"/>
                <w:lang w:eastAsia="en-GB"/>
              </w:rPr>
            </w:pPr>
            <w:r w:rsidRPr="008C0F4A">
              <w:rPr>
                <w:rFonts w:cs="Arial"/>
                <w:b/>
                <w:bCs/>
                <w:sz w:val="22"/>
                <w:szCs w:val="22"/>
                <w:lang w:eastAsia="en-GB"/>
              </w:rPr>
              <w:t> </w:t>
            </w:r>
          </w:p>
        </w:tc>
        <w:tc>
          <w:tcPr>
            <w:tcW w:w="1476" w:type="dxa"/>
            <w:gridSpan w:val="2"/>
            <w:tcBorders>
              <w:top w:val="nil"/>
              <w:left w:val="nil"/>
              <w:bottom w:val="nil"/>
              <w:right w:val="nil"/>
            </w:tcBorders>
            <w:shd w:val="clear" w:color="000000" w:fill="FCD5B4"/>
            <w:noWrap/>
            <w:vAlign w:val="bottom"/>
            <w:hideMark/>
          </w:tcPr>
          <w:p w14:paraId="4158F79C" w14:textId="77777777" w:rsidR="008C0F4A" w:rsidRPr="008C0F4A" w:rsidRDefault="008C0F4A" w:rsidP="008C0F4A">
            <w:pPr>
              <w:jc w:val="right"/>
              <w:rPr>
                <w:rFonts w:cs="Arial"/>
                <w:b/>
                <w:bCs/>
                <w:sz w:val="22"/>
                <w:szCs w:val="22"/>
                <w:lang w:eastAsia="en-GB"/>
              </w:rPr>
            </w:pPr>
            <w:r w:rsidRPr="008C0F4A">
              <w:rPr>
                <w:rFonts w:cs="Arial"/>
                <w:b/>
                <w:bCs/>
                <w:sz w:val="22"/>
                <w:szCs w:val="22"/>
                <w:lang w:eastAsia="en-GB"/>
              </w:rPr>
              <w:t xml:space="preserve"> </w:t>
            </w:r>
          </w:p>
        </w:tc>
      </w:tr>
      <w:tr w:rsidR="008C0F4A" w:rsidRPr="008C0F4A" w14:paraId="14C85C80"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90"/>
        </w:trPr>
        <w:tc>
          <w:tcPr>
            <w:tcW w:w="5816" w:type="dxa"/>
            <w:gridSpan w:val="3"/>
            <w:tcBorders>
              <w:top w:val="nil"/>
              <w:left w:val="single" w:sz="8" w:space="0" w:color="auto"/>
              <w:bottom w:val="nil"/>
              <w:right w:val="nil"/>
            </w:tcBorders>
            <w:shd w:val="clear" w:color="auto" w:fill="auto"/>
            <w:noWrap/>
            <w:vAlign w:val="bottom"/>
            <w:hideMark/>
          </w:tcPr>
          <w:p w14:paraId="1C098C0F"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2096" w:type="dxa"/>
            <w:tcBorders>
              <w:top w:val="nil"/>
              <w:left w:val="nil"/>
              <w:bottom w:val="single" w:sz="8" w:space="0" w:color="auto"/>
              <w:right w:val="nil"/>
            </w:tcBorders>
            <w:shd w:val="clear" w:color="auto" w:fill="auto"/>
            <w:noWrap/>
            <w:vAlign w:val="bottom"/>
            <w:hideMark/>
          </w:tcPr>
          <w:p w14:paraId="354EEBD9"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816" w:type="dxa"/>
            <w:tcBorders>
              <w:top w:val="nil"/>
              <w:left w:val="nil"/>
              <w:bottom w:val="nil"/>
              <w:right w:val="nil"/>
            </w:tcBorders>
            <w:shd w:val="clear" w:color="auto" w:fill="auto"/>
            <w:noWrap/>
            <w:vAlign w:val="bottom"/>
            <w:hideMark/>
          </w:tcPr>
          <w:p w14:paraId="2FBAB9DA" w14:textId="77777777" w:rsidR="008C0F4A" w:rsidRPr="008C0F4A" w:rsidRDefault="008C0F4A" w:rsidP="008C0F4A">
            <w:pPr>
              <w:rPr>
                <w:rFonts w:cs="Arial"/>
                <w:sz w:val="22"/>
                <w:szCs w:val="22"/>
                <w:lang w:eastAsia="en-GB"/>
              </w:rPr>
            </w:pPr>
          </w:p>
        </w:tc>
        <w:tc>
          <w:tcPr>
            <w:tcW w:w="1476" w:type="dxa"/>
            <w:gridSpan w:val="2"/>
            <w:tcBorders>
              <w:top w:val="nil"/>
              <w:left w:val="nil"/>
              <w:bottom w:val="nil"/>
              <w:right w:val="single" w:sz="8" w:space="0" w:color="auto"/>
            </w:tcBorders>
            <w:shd w:val="clear" w:color="auto" w:fill="auto"/>
            <w:noWrap/>
            <w:vAlign w:val="bottom"/>
            <w:hideMark/>
          </w:tcPr>
          <w:p w14:paraId="2978A7C1"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52AA5D70"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315"/>
        </w:trPr>
        <w:tc>
          <w:tcPr>
            <w:tcW w:w="5816" w:type="dxa"/>
            <w:gridSpan w:val="3"/>
            <w:tcBorders>
              <w:top w:val="nil"/>
              <w:left w:val="single" w:sz="8" w:space="0" w:color="auto"/>
              <w:bottom w:val="nil"/>
              <w:right w:val="nil"/>
            </w:tcBorders>
            <w:shd w:val="clear" w:color="auto" w:fill="auto"/>
            <w:noWrap/>
            <w:vAlign w:val="bottom"/>
            <w:hideMark/>
          </w:tcPr>
          <w:p w14:paraId="6591559E" w14:textId="77777777" w:rsidR="008C0F4A" w:rsidRPr="008C0F4A" w:rsidRDefault="008C0F4A" w:rsidP="008C0F4A">
            <w:pPr>
              <w:rPr>
                <w:rFonts w:cs="Arial"/>
                <w:b/>
                <w:bCs/>
                <w:sz w:val="22"/>
                <w:szCs w:val="22"/>
                <w:lang w:eastAsia="en-GB"/>
              </w:rPr>
            </w:pPr>
            <w:r w:rsidRPr="008C0F4A">
              <w:rPr>
                <w:rFonts w:cs="Arial"/>
                <w:b/>
                <w:bCs/>
                <w:sz w:val="22"/>
                <w:szCs w:val="22"/>
                <w:lang w:eastAsia="en-GB"/>
              </w:rPr>
              <w:t>Contribution to pool</w:t>
            </w:r>
          </w:p>
        </w:tc>
        <w:tc>
          <w:tcPr>
            <w:tcW w:w="2096" w:type="dxa"/>
            <w:tcBorders>
              <w:top w:val="nil"/>
              <w:left w:val="nil"/>
              <w:bottom w:val="single" w:sz="8" w:space="0" w:color="auto"/>
              <w:right w:val="nil"/>
            </w:tcBorders>
            <w:shd w:val="clear" w:color="auto" w:fill="auto"/>
            <w:noWrap/>
            <w:vAlign w:val="bottom"/>
            <w:hideMark/>
          </w:tcPr>
          <w:p w14:paraId="138E744E" w14:textId="77777777" w:rsidR="008C0F4A" w:rsidRPr="008C0F4A" w:rsidRDefault="008C0F4A" w:rsidP="008C0F4A">
            <w:pPr>
              <w:jc w:val="right"/>
              <w:rPr>
                <w:rFonts w:cs="Arial"/>
                <w:b/>
                <w:bCs/>
                <w:sz w:val="22"/>
                <w:szCs w:val="22"/>
                <w:lang w:eastAsia="en-GB"/>
              </w:rPr>
            </w:pPr>
            <w:r w:rsidRPr="008C0F4A">
              <w:rPr>
                <w:rFonts w:cs="Arial"/>
                <w:b/>
                <w:bCs/>
                <w:sz w:val="22"/>
                <w:szCs w:val="22"/>
                <w:lang w:eastAsia="en-GB"/>
              </w:rPr>
              <w:t>42,559,974</w:t>
            </w:r>
          </w:p>
        </w:tc>
        <w:tc>
          <w:tcPr>
            <w:tcW w:w="816" w:type="dxa"/>
            <w:tcBorders>
              <w:top w:val="nil"/>
              <w:left w:val="nil"/>
              <w:bottom w:val="nil"/>
              <w:right w:val="nil"/>
            </w:tcBorders>
            <w:shd w:val="clear" w:color="auto" w:fill="auto"/>
            <w:noWrap/>
            <w:vAlign w:val="bottom"/>
            <w:hideMark/>
          </w:tcPr>
          <w:p w14:paraId="5B108902" w14:textId="77777777" w:rsidR="008C0F4A" w:rsidRPr="008C0F4A" w:rsidRDefault="008C0F4A" w:rsidP="008C0F4A">
            <w:pPr>
              <w:jc w:val="right"/>
              <w:rPr>
                <w:rFonts w:cs="Arial"/>
                <w:b/>
                <w:bCs/>
                <w:sz w:val="22"/>
                <w:szCs w:val="22"/>
                <w:lang w:eastAsia="en-GB"/>
              </w:rPr>
            </w:pPr>
          </w:p>
        </w:tc>
        <w:tc>
          <w:tcPr>
            <w:tcW w:w="1476" w:type="dxa"/>
            <w:gridSpan w:val="2"/>
            <w:tcBorders>
              <w:top w:val="nil"/>
              <w:left w:val="nil"/>
              <w:bottom w:val="nil"/>
              <w:right w:val="single" w:sz="8" w:space="0" w:color="auto"/>
            </w:tcBorders>
            <w:shd w:val="clear" w:color="auto" w:fill="auto"/>
            <w:noWrap/>
            <w:vAlign w:val="bottom"/>
            <w:hideMark/>
          </w:tcPr>
          <w:p w14:paraId="2465062B"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43789A13"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5"/>
        </w:trPr>
        <w:tc>
          <w:tcPr>
            <w:tcW w:w="5816" w:type="dxa"/>
            <w:gridSpan w:val="3"/>
            <w:tcBorders>
              <w:top w:val="nil"/>
              <w:left w:val="single" w:sz="8" w:space="0" w:color="auto"/>
              <w:bottom w:val="nil"/>
              <w:right w:val="nil"/>
            </w:tcBorders>
            <w:shd w:val="clear" w:color="auto" w:fill="auto"/>
            <w:noWrap/>
            <w:vAlign w:val="bottom"/>
            <w:hideMark/>
          </w:tcPr>
          <w:p w14:paraId="6CCF65E8" w14:textId="77777777" w:rsidR="008C0F4A" w:rsidRPr="008C0F4A" w:rsidRDefault="008C0F4A" w:rsidP="008C0F4A">
            <w:pPr>
              <w:rPr>
                <w:rFonts w:cs="Arial"/>
                <w:sz w:val="22"/>
                <w:szCs w:val="22"/>
                <w:lang w:eastAsia="en-GB"/>
              </w:rPr>
            </w:pPr>
            <w:r w:rsidRPr="008C0F4A">
              <w:rPr>
                <w:rFonts w:cs="Arial"/>
                <w:sz w:val="22"/>
                <w:szCs w:val="22"/>
                <w:lang w:eastAsia="en-GB"/>
              </w:rPr>
              <w:t>Less Central Share (33% to Government)</w:t>
            </w:r>
          </w:p>
        </w:tc>
        <w:tc>
          <w:tcPr>
            <w:tcW w:w="2096" w:type="dxa"/>
            <w:tcBorders>
              <w:top w:val="nil"/>
              <w:left w:val="nil"/>
              <w:bottom w:val="nil"/>
              <w:right w:val="nil"/>
            </w:tcBorders>
            <w:shd w:val="clear" w:color="auto" w:fill="auto"/>
            <w:noWrap/>
            <w:vAlign w:val="bottom"/>
            <w:hideMark/>
          </w:tcPr>
          <w:p w14:paraId="6B855569" w14:textId="77777777" w:rsidR="008C0F4A" w:rsidRPr="008C0F4A" w:rsidRDefault="008C0F4A" w:rsidP="008C0F4A">
            <w:pPr>
              <w:jc w:val="right"/>
              <w:rPr>
                <w:rFonts w:cs="Arial"/>
                <w:sz w:val="22"/>
                <w:szCs w:val="22"/>
                <w:lang w:eastAsia="en-GB"/>
              </w:rPr>
            </w:pPr>
            <w:r w:rsidRPr="008C0F4A">
              <w:rPr>
                <w:rFonts w:cs="Arial"/>
                <w:sz w:val="22"/>
                <w:szCs w:val="22"/>
                <w:lang w:eastAsia="en-GB"/>
              </w:rPr>
              <w:t>-14,044,791</w:t>
            </w:r>
          </w:p>
        </w:tc>
        <w:tc>
          <w:tcPr>
            <w:tcW w:w="816" w:type="dxa"/>
            <w:tcBorders>
              <w:top w:val="nil"/>
              <w:left w:val="nil"/>
              <w:bottom w:val="nil"/>
              <w:right w:val="nil"/>
            </w:tcBorders>
            <w:shd w:val="clear" w:color="auto" w:fill="auto"/>
            <w:noWrap/>
            <w:vAlign w:val="bottom"/>
            <w:hideMark/>
          </w:tcPr>
          <w:p w14:paraId="752A9F24" w14:textId="77777777" w:rsidR="008C0F4A" w:rsidRPr="008C0F4A" w:rsidRDefault="008C0F4A" w:rsidP="008C0F4A">
            <w:pPr>
              <w:jc w:val="right"/>
              <w:rPr>
                <w:rFonts w:cs="Arial"/>
                <w:sz w:val="22"/>
                <w:szCs w:val="22"/>
                <w:lang w:eastAsia="en-GB"/>
              </w:rPr>
            </w:pPr>
          </w:p>
        </w:tc>
        <w:tc>
          <w:tcPr>
            <w:tcW w:w="1476" w:type="dxa"/>
            <w:gridSpan w:val="2"/>
            <w:tcBorders>
              <w:top w:val="nil"/>
              <w:left w:val="nil"/>
              <w:bottom w:val="nil"/>
              <w:right w:val="single" w:sz="8" w:space="0" w:color="auto"/>
            </w:tcBorders>
            <w:shd w:val="clear" w:color="auto" w:fill="auto"/>
            <w:noWrap/>
            <w:vAlign w:val="bottom"/>
            <w:hideMark/>
          </w:tcPr>
          <w:p w14:paraId="7F282DF9"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5E119D4A"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300"/>
        </w:trPr>
        <w:tc>
          <w:tcPr>
            <w:tcW w:w="5816" w:type="dxa"/>
            <w:gridSpan w:val="3"/>
            <w:tcBorders>
              <w:top w:val="nil"/>
              <w:left w:val="single" w:sz="8" w:space="0" w:color="auto"/>
              <w:bottom w:val="nil"/>
              <w:right w:val="nil"/>
            </w:tcBorders>
            <w:shd w:val="clear" w:color="auto" w:fill="auto"/>
            <w:noWrap/>
            <w:vAlign w:val="bottom"/>
            <w:hideMark/>
          </w:tcPr>
          <w:p w14:paraId="04BBA50C" w14:textId="77777777" w:rsidR="008C0F4A" w:rsidRPr="008C0F4A" w:rsidRDefault="008C0F4A" w:rsidP="008C0F4A">
            <w:pPr>
              <w:rPr>
                <w:rFonts w:cs="Arial"/>
                <w:sz w:val="22"/>
                <w:szCs w:val="22"/>
                <w:lang w:eastAsia="en-GB"/>
              </w:rPr>
            </w:pPr>
            <w:r w:rsidRPr="008C0F4A">
              <w:rPr>
                <w:rFonts w:cs="Arial"/>
                <w:sz w:val="22"/>
                <w:szCs w:val="22"/>
                <w:lang w:eastAsia="en-GB"/>
              </w:rPr>
              <w:t>Less GLA Transport (37%)</w:t>
            </w:r>
          </w:p>
        </w:tc>
        <w:tc>
          <w:tcPr>
            <w:tcW w:w="2096" w:type="dxa"/>
            <w:tcBorders>
              <w:top w:val="nil"/>
              <w:left w:val="nil"/>
              <w:bottom w:val="single" w:sz="8" w:space="0" w:color="auto"/>
              <w:right w:val="nil"/>
            </w:tcBorders>
            <w:shd w:val="clear" w:color="auto" w:fill="auto"/>
            <w:noWrap/>
            <w:vAlign w:val="bottom"/>
            <w:hideMark/>
          </w:tcPr>
          <w:p w14:paraId="2DB75E2E" w14:textId="77777777" w:rsidR="008C0F4A" w:rsidRPr="008C0F4A" w:rsidRDefault="008C0F4A" w:rsidP="008C0F4A">
            <w:pPr>
              <w:jc w:val="right"/>
              <w:rPr>
                <w:rFonts w:cs="Arial"/>
                <w:sz w:val="22"/>
                <w:szCs w:val="22"/>
                <w:lang w:eastAsia="en-GB"/>
              </w:rPr>
            </w:pPr>
            <w:r w:rsidRPr="008C0F4A">
              <w:rPr>
                <w:rFonts w:cs="Arial"/>
                <w:sz w:val="22"/>
                <w:szCs w:val="22"/>
                <w:lang w:eastAsia="en-GB"/>
              </w:rPr>
              <w:t>-15,747,190</w:t>
            </w:r>
          </w:p>
        </w:tc>
        <w:tc>
          <w:tcPr>
            <w:tcW w:w="816" w:type="dxa"/>
            <w:tcBorders>
              <w:top w:val="nil"/>
              <w:left w:val="nil"/>
              <w:bottom w:val="nil"/>
              <w:right w:val="nil"/>
            </w:tcBorders>
            <w:shd w:val="clear" w:color="auto" w:fill="auto"/>
            <w:noWrap/>
            <w:vAlign w:val="bottom"/>
            <w:hideMark/>
          </w:tcPr>
          <w:p w14:paraId="6EA4D39D" w14:textId="77777777" w:rsidR="008C0F4A" w:rsidRPr="008C0F4A" w:rsidRDefault="008C0F4A" w:rsidP="008C0F4A">
            <w:pPr>
              <w:jc w:val="right"/>
              <w:rPr>
                <w:rFonts w:cs="Arial"/>
                <w:sz w:val="22"/>
                <w:szCs w:val="22"/>
                <w:lang w:eastAsia="en-GB"/>
              </w:rPr>
            </w:pPr>
          </w:p>
        </w:tc>
        <w:tc>
          <w:tcPr>
            <w:tcW w:w="1476" w:type="dxa"/>
            <w:gridSpan w:val="2"/>
            <w:tcBorders>
              <w:top w:val="nil"/>
              <w:left w:val="nil"/>
              <w:bottom w:val="nil"/>
              <w:right w:val="single" w:sz="8" w:space="0" w:color="auto"/>
            </w:tcBorders>
            <w:shd w:val="clear" w:color="auto" w:fill="auto"/>
            <w:noWrap/>
            <w:vAlign w:val="bottom"/>
            <w:hideMark/>
          </w:tcPr>
          <w:p w14:paraId="4457241F"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67A7DE5A"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320"/>
        </w:trPr>
        <w:tc>
          <w:tcPr>
            <w:tcW w:w="5816" w:type="dxa"/>
            <w:gridSpan w:val="3"/>
            <w:tcBorders>
              <w:top w:val="nil"/>
              <w:left w:val="single" w:sz="8" w:space="0" w:color="auto"/>
              <w:bottom w:val="single" w:sz="8" w:space="0" w:color="auto"/>
              <w:right w:val="nil"/>
            </w:tcBorders>
            <w:shd w:val="clear" w:color="auto" w:fill="auto"/>
            <w:noWrap/>
            <w:vAlign w:val="bottom"/>
            <w:hideMark/>
          </w:tcPr>
          <w:p w14:paraId="64CC0C87" w14:textId="77777777" w:rsidR="008C0F4A" w:rsidRPr="008C0F4A" w:rsidRDefault="008C0F4A" w:rsidP="008C0F4A">
            <w:pPr>
              <w:rPr>
                <w:rFonts w:cs="Arial"/>
                <w:b/>
                <w:bCs/>
                <w:sz w:val="22"/>
                <w:szCs w:val="22"/>
                <w:lang w:eastAsia="en-GB"/>
              </w:rPr>
            </w:pPr>
            <w:r w:rsidRPr="008C0F4A">
              <w:rPr>
                <w:rFonts w:cs="Arial"/>
                <w:b/>
                <w:bCs/>
                <w:sz w:val="22"/>
                <w:szCs w:val="22"/>
                <w:lang w:eastAsia="en-GB"/>
              </w:rPr>
              <w:t>NDR Income retained = 30%</w:t>
            </w:r>
          </w:p>
        </w:tc>
        <w:tc>
          <w:tcPr>
            <w:tcW w:w="2096" w:type="dxa"/>
            <w:tcBorders>
              <w:top w:val="nil"/>
              <w:left w:val="nil"/>
              <w:bottom w:val="single" w:sz="8" w:space="0" w:color="auto"/>
              <w:right w:val="nil"/>
            </w:tcBorders>
            <w:shd w:val="clear" w:color="auto" w:fill="auto"/>
            <w:noWrap/>
            <w:vAlign w:val="bottom"/>
            <w:hideMark/>
          </w:tcPr>
          <w:p w14:paraId="03097F6C" w14:textId="77777777" w:rsidR="008C0F4A" w:rsidRPr="008C0F4A" w:rsidRDefault="008C0F4A" w:rsidP="008C0F4A">
            <w:pPr>
              <w:jc w:val="right"/>
              <w:rPr>
                <w:rFonts w:cs="Arial"/>
                <w:b/>
                <w:bCs/>
                <w:szCs w:val="24"/>
                <w:lang w:eastAsia="en-GB"/>
              </w:rPr>
            </w:pPr>
            <w:r w:rsidRPr="008C0F4A">
              <w:rPr>
                <w:rFonts w:cs="Arial"/>
                <w:b/>
                <w:bCs/>
                <w:szCs w:val="24"/>
                <w:lang w:eastAsia="en-GB"/>
              </w:rPr>
              <w:t>12,767,992</w:t>
            </w:r>
          </w:p>
        </w:tc>
        <w:tc>
          <w:tcPr>
            <w:tcW w:w="816" w:type="dxa"/>
            <w:tcBorders>
              <w:top w:val="nil"/>
              <w:left w:val="nil"/>
              <w:bottom w:val="single" w:sz="8" w:space="0" w:color="auto"/>
              <w:right w:val="nil"/>
            </w:tcBorders>
            <w:shd w:val="clear" w:color="auto" w:fill="auto"/>
            <w:noWrap/>
            <w:vAlign w:val="bottom"/>
            <w:hideMark/>
          </w:tcPr>
          <w:p w14:paraId="1E6A06B0" w14:textId="77777777" w:rsidR="008C0F4A" w:rsidRPr="008C0F4A" w:rsidRDefault="008C0F4A" w:rsidP="008C0F4A">
            <w:pPr>
              <w:rPr>
                <w:rFonts w:cs="Arial"/>
                <w:sz w:val="22"/>
                <w:szCs w:val="22"/>
                <w:lang w:eastAsia="en-GB"/>
              </w:rPr>
            </w:pPr>
            <w:r w:rsidRPr="008C0F4A">
              <w:rPr>
                <w:rFonts w:cs="Arial"/>
                <w:sz w:val="22"/>
                <w:szCs w:val="22"/>
                <w:lang w:eastAsia="en-GB"/>
              </w:rPr>
              <w:t> </w:t>
            </w:r>
          </w:p>
        </w:tc>
        <w:tc>
          <w:tcPr>
            <w:tcW w:w="1476" w:type="dxa"/>
            <w:gridSpan w:val="2"/>
            <w:tcBorders>
              <w:top w:val="nil"/>
              <w:left w:val="nil"/>
              <w:bottom w:val="single" w:sz="8" w:space="0" w:color="auto"/>
              <w:right w:val="single" w:sz="8" w:space="0" w:color="auto"/>
            </w:tcBorders>
            <w:shd w:val="clear" w:color="auto" w:fill="auto"/>
            <w:noWrap/>
            <w:vAlign w:val="bottom"/>
            <w:hideMark/>
          </w:tcPr>
          <w:p w14:paraId="648F471C" w14:textId="77777777" w:rsidR="008C0F4A" w:rsidRPr="008C0F4A" w:rsidRDefault="008C0F4A" w:rsidP="008C0F4A">
            <w:pPr>
              <w:rPr>
                <w:rFonts w:cs="Arial"/>
                <w:sz w:val="22"/>
                <w:szCs w:val="22"/>
                <w:lang w:eastAsia="en-GB"/>
              </w:rPr>
            </w:pPr>
            <w:r w:rsidRPr="008C0F4A">
              <w:rPr>
                <w:rFonts w:cs="Arial"/>
                <w:sz w:val="22"/>
                <w:szCs w:val="22"/>
                <w:lang w:eastAsia="en-GB"/>
              </w:rPr>
              <w:t> </w:t>
            </w:r>
          </w:p>
        </w:tc>
      </w:tr>
      <w:tr w:rsidR="008C0F4A" w:rsidRPr="008C0F4A" w14:paraId="33D3D39D"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80"/>
        </w:trPr>
        <w:tc>
          <w:tcPr>
            <w:tcW w:w="5816" w:type="dxa"/>
            <w:gridSpan w:val="3"/>
            <w:tcBorders>
              <w:top w:val="nil"/>
              <w:left w:val="single" w:sz="8" w:space="0" w:color="auto"/>
              <w:bottom w:val="nil"/>
              <w:right w:val="nil"/>
            </w:tcBorders>
            <w:shd w:val="clear" w:color="auto" w:fill="auto"/>
            <w:noWrap/>
            <w:vAlign w:val="bottom"/>
            <w:hideMark/>
          </w:tcPr>
          <w:p w14:paraId="2E0A1317" w14:textId="77777777" w:rsidR="008C0F4A" w:rsidRPr="008C0F4A" w:rsidRDefault="008C0F4A" w:rsidP="008C0F4A">
            <w:pPr>
              <w:rPr>
                <w:rFonts w:cs="Arial"/>
                <w:b/>
                <w:bCs/>
                <w:sz w:val="22"/>
                <w:szCs w:val="22"/>
                <w:lang w:eastAsia="en-GB"/>
              </w:rPr>
            </w:pPr>
            <w:r w:rsidRPr="008C0F4A">
              <w:rPr>
                <w:rFonts w:cs="Arial"/>
                <w:b/>
                <w:bCs/>
                <w:sz w:val="22"/>
                <w:szCs w:val="22"/>
                <w:lang w:eastAsia="en-GB"/>
              </w:rPr>
              <w:t xml:space="preserve"> </w:t>
            </w:r>
          </w:p>
        </w:tc>
        <w:tc>
          <w:tcPr>
            <w:tcW w:w="2096" w:type="dxa"/>
            <w:tcBorders>
              <w:top w:val="nil"/>
              <w:left w:val="nil"/>
              <w:bottom w:val="nil"/>
              <w:right w:val="nil"/>
            </w:tcBorders>
            <w:shd w:val="clear" w:color="auto" w:fill="auto"/>
            <w:noWrap/>
            <w:vAlign w:val="bottom"/>
            <w:hideMark/>
          </w:tcPr>
          <w:p w14:paraId="538B1E83" w14:textId="77777777" w:rsidR="008C0F4A" w:rsidRPr="008C0F4A" w:rsidRDefault="008C0F4A" w:rsidP="008C0F4A">
            <w:pPr>
              <w:rPr>
                <w:rFonts w:cs="Arial"/>
                <w:sz w:val="20"/>
                <w:lang w:eastAsia="en-GB"/>
              </w:rPr>
            </w:pPr>
            <w:r w:rsidRPr="008C0F4A">
              <w:rPr>
                <w:rFonts w:cs="Arial"/>
                <w:sz w:val="20"/>
                <w:lang w:eastAsia="en-GB"/>
              </w:rPr>
              <w:t xml:space="preserve"> </w:t>
            </w:r>
          </w:p>
        </w:tc>
        <w:tc>
          <w:tcPr>
            <w:tcW w:w="816" w:type="dxa"/>
            <w:tcBorders>
              <w:top w:val="nil"/>
              <w:left w:val="nil"/>
              <w:bottom w:val="nil"/>
              <w:right w:val="nil"/>
            </w:tcBorders>
            <w:shd w:val="clear" w:color="auto" w:fill="auto"/>
            <w:noWrap/>
            <w:vAlign w:val="bottom"/>
            <w:hideMark/>
          </w:tcPr>
          <w:p w14:paraId="1B1E7A88" w14:textId="77777777" w:rsidR="008C0F4A" w:rsidRPr="008C0F4A" w:rsidRDefault="008C0F4A" w:rsidP="008C0F4A">
            <w:pPr>
              <w:rPr>
                <w:rFonts w:cs="Arial"/>
                <w:sz w:val="20"/>
                <w:lang w:eastAsia="en-GB"/>
              </w:rPr>
            </w:pPr>
            <w:r w:rsidRPr="008C0F4A">
              <w:rPr>
                <w:rFonts w:cs="Arial"/>
                <w:sz w:val="20"/>
                <w:lang w:eastAsia="en-GB"/>
              </w:rPr>
              <w:t> </w:t>
            </w:r>
          </w:p>
        </w:tc>
        <w:tc>
          <w:tcPr>
            <w:tcW w:w="1476" w:type="dxa"/>
            <w:gridSpan w:val="2"/>
            <w:tcBorders>
              <w:top w:val="nil"/>
              <w:left w:val="nil"/>
              <w:bottom w:val="nil"/>
              <w:right w:val="single" w:sz="8" w:space="0" w:color="auto"/>
            </w:tcBorders>
            <w:shd w:val="clear" w:color="auto" w:fill="auto"/>
            <w:noWrap/>
            <w:vAlign w:val="bottom"/>
            <w:hideMark/>
          </w:tcPr>
          <w:p w14:paraId="7B4F7F4E" w14:textId="77777777" w:rsidR="008C0F4A" w:rsidRPr="008C0F4A" w:rsidRDefault="008C0F4A" w:rsidP="008C0F4A">
            <w:pPr>
              <w:rPr>
                <w:rFonts w:cs="Arial"/>
                <w:sz w:val="20"/>
                <w:lang w:eastAsia="en-GB"/>
              </w:rPr>
            </w:pPr>
            <w:r w:rsidRPr="008C0F4A">
              <w:rPr>
                <w:rFonts w:cs="Arial"/>
                <w:sz w:val="20"/>
                <w:lang w:eastAsia="en-GB"/>
              </w:rPr>
              <w:t> </w:t>
            </w:r>
          </w:p>
        </w:tc>
      </w:tr>
      <w:tr w:rsidR="008C0F4A" w:rsidRPr="008C0F4A" w14:paraId="020266AC"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290"/>
        </w:trPr>
        <w:tc>
          <w:tcPr>
            <w:tcW w:w="5816" w:type="dxa"/>
            <w:gridSpan w:val="3"/>
            <w:tcBorders>
              <w:top w:val="nil"/>
              <w:left w:val="single" w:sz="8" w:space="0" w:color="auto"/>
              <w:bottom w:val="nil"/>
              <w:right w:val="nil"/>
            </w:tcBorders>
            <w:shd w:val="clear" w:color="auto" w:fill="auto"/>
            <w:noWrap/>
            <w:vAlign w:val="bottom"/>
            <w:hideMark/>
          </w:tcPr>
          <w:p w14:paraId="606A06AC" w14:textId="77777777" w:rsidR="008C0F4A" w:rsidRPr="008C0F4A" w:rsidRDefault="008C0F4A" w:rsidP="008C0F4A">
            <w:pPr>
              <w:rPr>
                <w:rFonts w:cs="Arial"/>
                <w:b/>
                <w:bCs/>
                <w:sz w:val="22"/>
                <w:szCs w:val="22"/>
                <w:lang w:eastAsia="en-GB"/>
              </w:rPr>
            </w:pPr>
            <w:r w:rsidRPr="008C0F4A">
              <w:rPr>
                <w:rFonts w:cs="Arial"/>
                <w:b/>
                <w:bCs/>
                <w:sz w:val="22"/>
                <w:szCs w:val="22"/>
                <w:lang w:eastAsia="en-GB"/>
              </w:rPr>
              <w:t>Add estimated s31 Grant re Reliefs initiatives *</w:t>
            </w:r>
          </w:p>
        </w:tc>
        <w:tc>
          <w:tcPr>
            <w:tcW w:w="2096" w:type="dxa"/>
            <w:tcBorders>
              <w:top w:val="nil"/>
              <w:left w:val="nil"/>
              <w:bottom w:val="single" w:sz="8" w:space="0" w:color="auto"/>
              <w:right w:val="nil"/>
            </w:tcBorders>
            <w:shd w:val="clear" w:color="auto" w:fill="auto"/>
            <w:noWrap/>
            <w:vAlign w:val="bottom"/>
            <w:hideMark/>
          </w:tcPr>
          <w:p w14:paraId="5E8EF01D" w14:textId="77777777" w:rsidR="008C0F4A" w:rsidRPr="008C0F4A" w:rsidRDefault="008C0F4A" w:rsidP="008C0F4A">
            <w:pPr>
              <w:jc w:val="right"/>
              <w:rPr>
                <w:rFonts w:cs="Arial"/>
                <w:sz w:val="20"/>
                <w:lang w:eastAsia="en-GB"/>
              </w:rPr>
            </w:pPr>
            <w:r w:rsidRPr="008C0F4A">
              <w:rPr>
                <w:rFonts w:cs="Arial"/>
                <w:sz w:val="20"/>
                <w:lang w:eastAsia="en-GB"/>
              </w:rPr>
              <w:t>£4,873,000</w:t>
            </w:r>
          </w:p>
        </w:tc>
        <w:tc>
          <w:tcPr>
            <w:tcW w:w="816" w:type="dxa"/>
            <w:tcBorders>
              <w:top w:val="nil"/>
              <w:left w:val="nil"/>
              <w:bottom w:val="nil"/>
              <w:right w:val="nil"/>
            </w:tcBorders>
            <w:shd w:val="clear" w:color="auto" w:fill="auto"/>
            <w:noWrap/>
            <w:vAlign w:val="bottom"/>
            <w:hideMark/>
          </w:tcPr>
          <w:p w14:paraId="2C9E7D80" w14:textId="77777777" w:rsidR="008C0F4A" w:rsidRPr="008C0F4A" w:rsidRDefault="008C0F4A" w:rsidP="008C0F4A">
            <w:pPr>
              <w:rPr>
                <w:rFonts w:cs="Arial"/>
                <w:sz w:val="20"/>
                <w:lang w:eastAsia="en-GB"/>
              </w:rPr>
            </w:pPr>
            <w:r w:rsidRPr="008C0F4A">
              <w:rPr>
                <w:rFonts w:cs="Arial"/>
                <w:sz w:val="20"/>
                <w:lang w:eastAsia="en-GB"/>
              </w:rPr>
              <w:t xml:space="preserve"> </w:t>
            </w:r>
          </w:p>
        </w:tc>
        <w:tc>
          <w:tcPr>
            <w:tcW w:w="1476" w:type="dxa"/>
            <w:gridSpan w:val="2"/>
            <w:tcBorders>
              <w:top w:val="nil"/>
              <w:left w:val="nil"/>
              <w:bottom w:val="nil"/>
              <w:right w:val="single" w:sz="8" w:space="0" w:color="auto"/>
            </w:tcBorders>
            <w:shd w:val="clear" w:color="auto" w:fill="auto"/>
            <w:noWrap/>
            <w:vAlign w:val="bottom"/>
            <w:hideMark/>
          </w:tcPr>
          <w:p w14:paraId="57415FBB" w14:textId="77777777" w:rsidR="008C0F4A" w:rsidRPr="008C0F4A" w:rsidRDefault="008C0F4A" w:rsidP="008C0F4A">
            <w:pPr>
              <w:rPr>
                <w:rFonts w:cs="Arial"/>
                <w:sz w:val="20"/>
                <w:lang w:eastAsia="en-GB"/>
              </w:rPr>
            </w:pPr>
            <w:r w:rsidRPr="008C0F4A">
              <w:rPr>
                <w:rFonts w:cs="Arial"/>
                <w:sz w:val="20"/>
                <w:lang w:eastAsia="en-GB"/>
              </w:rPr>
              <w:t> </w:t>
            </w:r>
          </w:p>
        </w:tc>
      </w:tr>
      <w:tr w:rsidR="008C0F4A" w:rsidRPr="008C0F4A" w14:paraId="55E561E0" w14:textId="77777777" w:rsidTr="00C10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35" w:type="dxa"/>
          <w:trHeight w:val="320"/>
        </w:trPr>
        <w:tc>
          <w:tcPr>
            <w:tcW w:w="5816" w:type="dxa"/>
            <w:gridSpan w:val="3"/>
            <w:tcBorders>
              <w:top w:val="nil"/>
              <w:left w:val="single" w:sz="8" w:space="0" w:color="auto"/>
              <w:bottom w:val="single" w:sz="8" w:space="0" w:color="auto"/>
              <w:right w:val="nil"/>
            </w:tcBorders>
            <w:shd w:val="clear" w:color="auto" w:fill="auto"/>
            <w:noWrap/>
            <w:vAlign w:val="bottom"/>
            <w:hideMark/>
          </w:tcPr>
          <w:p w14:paraId="312990E1" w14:textId="77777777" w:rsidR="008C0F4A" w:rsidRPr="008C0F4A" w:rsidRDefault="008C0F4A" w:rsidP="008C0F4A">
            <w:pPr>
              <w:jc w:val="right"/>
              <w:rPr>
                <w:rFonts w:cs="Arial"/>
                <w:b/>
                <w:bCs/>
                <w:sz w:val="22"/>
                <w:szCs w:val="22"/>
                <w:lang w:eastAsia="en-GB"/>
              </w:rPr>
            </w:pPr>
            <w:r w:rsidRPr="008C0F4A">
              <w:rPr>
                <w:rFonts w:cs="Arial"/>
                <w:b/>
                <w:bCs/>
                <w:sz w:val="22"/>
                <w:szCs w:val="22"/>
                <w:lang w:eastAsia="en-GB"/>
              </w:rPr>
              <w:t>Overall Retention &amp; s31 Grant</w:t>
            </w:r>
          </w:p>
        </w:tc>
        <w:tc>
          <w:tcPr>
            <w:tcW w:w="2096" w:type="dxa"/>
            <w:tcBorders>
              <w:top w:val="nil"/>
              <w:left w:val="nil"/>
              <w:bottom w:val="single" w:sz="8" w:space="0" w:color="auto"/>
              <w:right w:val="nil"/>
            </w:tcBorders>
            <w:shd w:val="clear" w:color="auto" w:fill="auto"/>
            <w:noWrap/>
            <w:vAlign w:val="bottom"/>
            <w:hideMark/>
          </w:tcPr>
          <w:p w14:paraId="22A7CAA7" w14:textId="77777777" w:rsidR="008C0F4A" w:rsidRPr="008C0F4A" w:rsidRDefault="008C0F4A" w:rsidP="008C0F4A">
            <w:pPr>
              <w:jc w:val="right"/>
              <w:rPr>
                <w:rFonts w:cs="Arial"/>
                <w:b/>
                <w:bCs/>
                <w:szCs w:val="24"/>
                <w:lang w:eastAsia="en-GB"/>
              </w:rPr>
            </w:pPr>
            <w:r w:rsidRPr="008C0F4A">
              <w:rPr>
                <w:rFonts w:cs="Arial"/>
                <w:b/>
                <w:bCs/>
                <w:szCs w:val="24"/>
                <w:lang w:eastAsia="en-GB"/>
              </w:rPr>
              <w:t>17,640,992</w:t>
            </w:r>
          </w:p>
        </w:tc>
        <w:tc>
          <w:tcPr>
            <w:tcW w:w="816" w:type="dxa"/>
            <w:tcBorders>
              <w:top w:val="nil"/>
              <w:left w:val="nil"/>
              <w:bottom w:val="single" w:sz="8" w:space="0" w:color="auto"/>
              <w:right w:val="nil"/>
            </w:tcBorders>
            <w:shd w:val="clear" w:color="auto" w:fill="auto"/>
            <w:noWrap/>
            <w:vAlign w:val="bottom"/>
            <w:hideMark/>
          </w:tcPr>
          <w:p w14:paraId="1A163B04" w14:textId="77777777" w:rsidR="008C0F4A" w:rsidRPr="008C0F4A" w:rsidRDefault="008C0F4A" w:rsidP="008C0F4A">
            <w:pPr>
              <w:rPr>
                <w:rFonts w:cs="Arial"/>
                <w:sz w:val="20"/>
                <w:lang w:eastAsia="en-GB"/>
              </w:rPr>
            </w:pPr>
            <w:r w:rsidRPr="008C0F4A">
              <w:rPr>
                <w:rFonts w:cs="Arial"/>
                <w:sz w:val="20"/>
                <w:lang w:eastAsia="en-GB"/>
              </w:rPr>
              <w:t xml:space="preserve"> </w:t>
            </w:r>
          </w:p>
        </w:tc>
        <w:tc>
          <w:tcPr>
            <w:tcW w:w="1476" w:type="dxa"/>
            <w:gridSpan w:val="2"/>
            <w:tcBorders>
              <w:top w:val="nil"/>
              <w:left w:val="nil"/>
              <w:bottom w:val="single" w:sz="8" w:space="0" w:color="auto"/>
              <w:right w:val="single" w:sz="8" w:space="0" w:color="auto"/>
            </w:tcBorders>
            <w:shd w:val="clear" w:color="auto" w:fill="auto"/>
            <w:noWrap/>
            <w:vAlign w:val="bottom"/>
            <w:hideMark/>
          </w:tcPr>
          <w:p w14:paraId="61E2D3D4" w14:textId="77777777" w:rsidR="008C0F4A" w:rsidRPr="008C0F4A" w:rsidRDefault="008C0F4A" w:rsidP="008C0F4A">
            <w:pPr>
              <w:rPr>
                <w:rFonts w:cs="Arial"/>
                <w:sz w:val="20"/>
                <w:lang w:eastAsia="en-GB"/>
              </w:rPr>
            </w:pPr>
            <w:r w:rsidRPr="008C0F4A">
              <w:rPr>
                <w:rFonts w:cs="Arial"/>
                <w:sz w:val="20"/>
                <w:lang w:eastAsia="en-GB"/>
              </w:rPr>
              <w:t> </w:t>
            </w:r>
          </w:p>
        </w:tc>
      </w:tr>
    </w:tbl>
    <w:p w14:paraId="722696E6" w14:textId="77777777" w:rsidR="008C0F4A" w:rsidRPr="00495324" w:rsidRDefault="008C0F4A" w:rsidP="00F33B4C">
      <w:pPr>
        <w:ind w:left="561" w:hanging="561"/>
        <w:jc w:val="both"/>
        <w:rPr>
          <w:rFonts w:cs="Arial"/>
          <w:sz w:val="28"/>
          <w:szCs w:val="28"/>
          <w:lang w:eastAsia="en-GB"/>
        </w:rPr>
      </w:pPr>
    </w:p>
    <w:p w14:paraId="09CBCE21" w14:textId="77777777" w:rsidR="006D78DC" w:rsidRDefault="006D78DC" w:rsidP="00AB2335">
      <w:pPr>
        <w:jc w:val="both"/>
        <w:rPr>
          <w:rFonts w:cs="Arial"/>
          <w:color w:val="000000"/>
          <w:szCs w:val="24"/>
          <w:lang w:val="en" w:eastAsia="en-GB"/>
        </w:rPr>
      </w:pPr>
    </w:p>
    <w:p w14:paraId="307A8C26" w14:textId="0ADCC8CE" w:rsidR="0021559B" w:rsidRPr="00957CAA" w:rsidRDefault="0021559B" w:rsidP="0021559B">
      <w:pPr>
        <w:jc w:val="both"/>
        <w:rPr>
          <w:bCs/>
          <w:sz w:val="18"/>
          <w:szCs w:val="18"/>
        </w:rPr>
      </w:pPr>
      <w:r w:rsidRPr="00957CAA">
        <w:rPr>
          <w:bCs/>
          <w:sz w:val="18"/>
          <w:szCs w:val="18"/>
        </w:rPr>
        <w:t xml:space="preserve">*Section 31 grants are given to LA’s to compensate them for non-statutory rate relief schemes that DLUHC imposes on Councils. It is therefore imperative that the two are monitored together to ensure the overall quantum from the 2 income streams remains static. </w:t>
      </w:r>
      <w:r w:rsidR="005B61E7">
        <w:rPr>
          <w:bCs/>
          <w:sz w:val="18"/>
          <w:szCs w:val="18"/>
        </w:rPr>
        <w:t>T</w:t>
      </w:r>
      <w:r w:rsidRPr="00957CAA">
        <w:rPr>
          <w:bCs/>
          <w:sz w:val="18"/>
          <w:szCs w:val="18"/>
        </w:rPr>
        <w:t xml:space="preserve">he </w:t>
      </w:r>
      <w:r w:rsidR="008270CB">
        <w:rPr>
          <w:bCs/>
          <w:sz w:val="18"/>
          <w:szCs w:val="18"/>
        </w:rPr>
        <w:t>quoted</w:t>
      </w:r>
      <w:r w:rsidRPr="00957CAA">
        <w:rPr>
          <w:bCs/>
          <w:sz w:val="18"/>
          <w:szCs w:val="18"/>
        </w:rPr>
        <w:t xml:space="preserve"> cumulative amounts feed into the budget process. </w:t>
      </w:r>
    </w:p>
    <w:p w14:paraId="685F67CB" w14:textId="77777777" w:rsidR="0021559B" w:rsidRPr="00957CAA" w:rsidRDefault="0021559B" w:rsidP="0021559B">
      <w:pPr>
        <w:ind w:left="720" w:hanging="720"/>
        <w:jc w:val="both"/>
        <w:rPr>
          <w:bCs/>
          <w:sz w:val="18"/>
          <w:szCs w:val="18"/>
        </w:rPr>
      </w:pPr>
      <w:r w:rsidRPr="00957CAA">
        <w:rPr>
          <w:bCs/>
          <w:sz w:val="18"/>
          <w:szCs w:val="18"/>
        </w:rPr>
        <w:t>** DLUHC has frozen the business rates multiplier 2023/24.</w:t>
      </w:r>
    </w:p>
    <w:p w14:paraId="2F1DB65B" w14:textId="77777777" w:rsidR="0021559B" w:rsidRPr="00957CAA" w:rsidRDefault="0021559B" w:rsidP="0021559B">
      <w:pPr>
        <w:ind w:left="720" w:hanging="720"/>
        <w:jc w:val="both"/>
        <w:rPr>
          <w:bCs/>
          <w:sz w:val="18"/>
          <w:szCs w:val="18"/>
        </w:rPr>
      </w:pPr>
    </w:p>
    <w:p w14:paraId="1D838FA6" w14:textId="77777777" w:rsidR="006D78DC" w:rsidRDefault="006D78DC" w:rsidP="00AB2335">
      <w:pPr>
        <w:jc w:val="both"/>
        <w:rPr>
          <w:rFonts w:cs="Arial"/>
          <w:color w:val="000000"/>
          <w:szCs w:val="24"/>
          <w:lang w:val="en" w:eastAsia="en-GB"/>
        </w:rPr>
      </w:pPr>
    </w:p>
    <w:p w14:paraId="132CBA60" w14:textId="68F1E459" w:rsidR="00A93C4F" w:rsidRPr="00A93C4F" w:rsidRDefault="00A93C4F" w:rsidP="004C6F3C">
      <w:r w:rsidRPr="00A93C4F">
        <w:rPr>
          <w:b/>
          <w:sz w:val="28"/>
          <w:szCs w:val="28"/>
        </w:rPr>
        <w:t xml:space="preserve">Reasons for a </w:t>
      </w:r>
      <w:r w:rsidR="0080231D" w:rsidRPr="00A93C4F">
        <w:rPr>
          <w:b/>
          <w:sz w:val="28"/>
          <w:szCs w:val="28"/>
        </w:rPr>
        <w:t>Lower /</w:t>
      </w:r>
      <w:r w:rsidRPr="00A93C4F">
        <w:rPr>
          <w:b/>
          <w:sz w:val="28"/>
          <w:szCs w:val="28"/>
        </w:rPr>
        <w:t xml:space="preserve"> Higher Retention Amount in 202</w:t>
      </w:r>
      <w:r w:rsidR="001B3A29">
        <w:rPr>
          <w:b/>
          <w:sz w:val="28"/>
          <w:szCs w:val="28"/>
        </w:rPr>
        <w:t>3</w:t>
      </w:r>
      <w:r w:rsidRPr="00A93C4F">
        <w:rPr>
          <w:b/>
          <w:sz w:val="28"/>
          <w:szCs w:val="28"/>
        </w:rPr>
        <w:t>/2</w:t>
      </w:r>
      <w:r w:rsidR="001B3A29">
        <w:rPr>
          <w:b/>
          <w:sz w:val="28"/>
          <w:szCs w:val="28"/>
        </w:rPr>
        <w:t>4</w:t>
      </w:r>
    </w:p>
    <w:p w14:paraId="35F6B145" w14:textId="77777777" w:rsidR="00A93C4F" w:rsidRPr="00A93C4F" w:rsidRDefault="00A93C4F" w:rsidP="00A93C4F"/>
    <w:p w14:paraId="53FB66FA" w14:textId="77777777" w:rsidR="00A93C4F" w:rsidRPr="00A93C4F" w:rsidRDefault="00A93C4F" w:rsidP="00A93C4F">
      <w:pPr>
        <w:ind w:left="720" w:hanging="720"/>
        <w:jc w:val="both"/>
        <w:rPr>
          <w:rFonts w:cs="Arial"/>
          <w:szCs w:val="24"/>
        </w:rPr>
      </w:pPr>
      <w:r w:rsidRPr="00A93C4F">
        <w:rPr>
          <w:rFonts w:cs="Arial"/>
          <w:szCs w:val="24"/>
        </w:rPr>
        <w:t>2.1</w:t>
      </w:r>
      <w:r w:rsidR="00556D02">
        <w:rPr>
          <w:rFonts w:cs="Arial"/>
          <w:szCs w:val="24"/>
        </w:rPr>
        <w:t>4</w:t>
      </w:r>
      <w:r w:rsidRPr="00A93C4F">
        <w:rPr>
          <w:rFonts w:cs="Arial"/>
          <w:szCs w:val="24"/>
        </w:rPr>
        <w:tab/>
        <w:t xml:space="preserve">Historically, rateable value generally reduces annually in Harrow, this being a trend that has existed locally for several years and one that is likely to continue. This is because Harrow’s tax base is suffering losses which are not being offset by growth.  </w:t>
      </w:r>
    </w:p>
    <w:p w14:paraId="6EAA6686" w14:textId="77777777" w:rsidR="00A93C4F" w:rsidRPr="00A93C4F" w:rsidRDefault="00A93C4F" w:rsidP="00A93C4F">
      <w:pPr>
        <w:ind w:left="720"/>
        <w:jc w:val="both"/>
        <w:rPr>
          <w:rFonts w:cs="Arial"/>
          <w:szCs w:val="24"/>
        </w:rPr>
      </w:pPr>
    </w:p>
    <w:p w14:paraId="1A2C1D7D" w14:textId="1CEF9CA9" w:rsidR="00A93C4F" w:rsidRDefault="001976AE" w:rsidP="001976AE">
      <w:pPr>
        <w:jc w:val="both"/>
        <w:rPr>
          <w:rFonts w:cs="Arial"/>
          <w:szCs w:val="24"/>
        </w:rPr>
      </w:pPr>
      <w:r>
        <w:rPr>
          <w:rFonts w:cs="Arial"/>
          <w:szCs w:val="24"/>
        </w:rPr>
        <w:lastRenderedPageBreak/>
        <w:t>2.15</w:t>
      </w:r>
      <w:r>
        <w:rPr>
          <w:rFonts w:cs="Arial"/>
          <w:szCs w:val="24"/>
        </w:rPr>
        <w:tab/>
      </w:r>
      <w:r w:rsidR="00A93C4F" w:rsidRPr="00A93C4F">
        <w:rPr>
          <w:rFonts w:cs="Arial"/>
          <w:szCs w:val="24"/>
        </w:rPr>
        <w:t>The reasons for the changes in yield are mainly</w:t>
      </w:r>
      <w:r w:rsidR="004C6F3C">
        <w:rPr>
          <w:rFonts w:cs="Arial"/>
          <w:szCs w:val="24"/>
        </w:rPr>
        <w:t>:</w:t>
      </w:r>
    </w:p>
    <w:p w14:paraId="2F59C95A" w14:textId="77777777" w:rsidR="004C6F3C" w:rsidRPr="00A93C4F" w:rsidRDefault="004C6F3C" w:rsidP="001976AE">
      <w:pPr>
        <w:jc w:val="both"/>
        <w:rPr>
          <w:rFonts w:cs="Arial"/>
          <w:szCs w:val="24"/>
        </w:rPr>
      </w:pPr>
    </w:p>
    <w:p w14:paraId="29741329" w14:textId="77777777" w:rsidR="00A93C4F" w:rsidRPr="0032562D" w:rsidRDefault="00A93C4F" w:rsidP="00A93C4F">
      <w:pPr>
        <w:numPr>
          <w:ilvl w:val="0"/>
          <w:numId w:val="12"/>
        </w:numPr>
        <w:jc w:val="both"/>
        <w:rPr>
          <w:rFonts w:cs="Arial"/>
          <w:sz w:val="22"/>
          <w:szCs w:val="22"/>
        </w:rPr>
      </w:pPr>
      <w:r w:rsidRPr="0032562D">
        <w:rPr>
          <w:rFonts w:cs="Arial"/>
          <w:sz w:val="22"/>
          <w:szCs w:val="22"/>
        </w:rPr>
        <w:t xml:space="preserve">Tax Base is being eroded by commercial property being converted to domestic </w:t>
      </w:r>
      <w:r w:rsidR="0026024D" w:rsidRPr="0032562D">
        <w:rPr>
          <w:rFonts w:cs="Arial"/>
          <w:sz w:val="22"/>
          <w:szCs w:val="22"/>
        </w:rPr>
        <w:t xml:space="preserve">accommodation </w:t>
      </w:r>
      <w:r w:rsidRPr="0032562D">
        <w:rPr>
          <w:rFonts w:cs="Arial"/>
          <w:sz w:val="22"/>
          <w:szCs w:val="22"/>
        </w:rPr>
        <w:t>or being demolished and awaiting domestic properties being built</w:t>
      </w:r>
    </w:p>
    <w:p w14:paraId="650FE20F" w14:textId="77777777" w:rsidR="00C412DB" w:rsidRPr="0032562D" w:rsidRDefault="00A93C4F" w:rsidP="00BF1850">
      <w:pPr>
        <w:numPr>
          <w:ilvl w:val="0"/>
          <w:numId w:val="12"/>
        </w:numPr>
        <w:jc w:val="both"/>
        <w:rPr>
          <w:rFonts w:cs="Arial"/>
          <w:sz w:val="22"/>
          <w:szCs w:val="22"/>
        </w:rPr>
      </w:pPr>
      <w:r w:rsidRPr="0032562D">
        <w:rPr>
          <w:rFonts w:cs="Arial"/>
          <w:sz w:val="22"/>
          <w:szCs w:val="22"/>
        </w:rPr>
        <w:t xml:space="preserve">More occupiers claiming </w:t>
      </w:r>
      <w:r w:rsidR="00C412DB" w:rsidRPr="0032562D">
        <w:rPr>
          <w:rFonts w:cs="Arial"/>
          <w:sz w:val="22"/>
          <w:szCs w:val="22"/>
        </w:rPr>
        <w:t>S</w:t>
      </w:r>
      <w:r w:rsidRPr="0032562D">
        <w:rPr>
          <w:rFonts w:cs="Arial"/>
          <w:sz w:val="22"/>
          <w:szCs w:val="22"/>
        </w:rPr>
        <w:t xml:space="preserve">mall </w:t>
      </w:r>
      <w:r w:rsidR="00C412DB" w:rsidRPr="0032562D">
        <w:rPr>
          <w:rFonts w:cs="Arial"/>
          <w:sz w:val="22"/>
          <w:szCs w:val="22"/>
        </w:rPr>
        <w:t>B</w:t>
      </w:r>
      <w:r w:rsidRPr="0032562D">
        <w:rPr>
          <w:rFonts w:cs="Arial"/>
          <w:sz w:val="22"/>
          <w:szCs w:val="22"/>
        </w:rPr>
        <w:t xml:space="preserve">usiness </w:t>
      </w:r>
      <w:r w:rsidR="00C412DB" w:rsidRPr="0032562D">
        <w:rPr>
          <w:rFonts w:cs="Arial"/>
          <w:sz w:val="22"/>
          <w:szCs w:val="22"/>
        </w:rPr>
        <w:t>R</w:t>
      </w:r>
      <w:r w:rsidRPr="0032562D">
        <w:rPr>
          <w:rFonts w:cs="Arial"/>
          <w:sz w:val="22"/>
          <w:szCs w:val="22"/>
        </w:rPr>
        <w:t xml:space="preserve">ates </w:t>
      </w:r>
      <w:r w:rsidR="00C412DB" w:rsidRPr="0032562D">
        <w:rPr>
          <w:rFonts w:cs="Arial"/>
          <w:sz w:val="22"/>
          <w:szCs w:val="22"/>
        </w:rPr>
        <w:t>R</w:t>
      </w:r>
      <w:r w:rsidRPr="0032562D">
        <w:rPr>
          <w:rFonts w:cs="Arial"/>
          <w:sz w:val="22"/>
          <w:szCs w:val="22"/>
        </w:rPr>
        <w:t xml:space="preserve">elief (SBRR) and </w:t>
      </w:r>
      <w:r w:rsidR="00C412DB" w:rsidRPr="0032562D">
        <w:rPr>
          <w:rFonts w:cs="Arial"/>
          <w:sz w:val="22"/>
          <w:szCs w:val="22"/>
        </w:rPr>
        <w:t>R</w:t>
      </w:r>
      <w:r w:rsidRPr="0032562D">
        <w:rPr>
          <w:rFonts w:cs="Arial"/>
          <w:sz w:val="22"/>
          <w:szCs w:val="22"/>
        </w:rPr>
        <w:t xml:space="preserve">etail </w:t>
      </w:r>
      <w:r w:rsidR="00C412DB" w:rsidRPr="0032562D">
        <w:rPr>
          <w:rFonts w:cs="Arial"/>
          <w:sz w:val="22"/>
          <w:szCs w:val="22"/>
        </w:rPr>
        <w:t>R</w:t>
      </w:r>
      <w:r w:rsidRPr="0032562D">
        <w:rPr>
          <w:rFonts w:cs="Arial"/>
          <w:sz w:val="22"/>
          <w:szCs w:val="22"/>
        </w:rPr>
        <w:t>elief</w:t>
      </w:r>
    </w:p>
    <w:p w14:paraId="2D60554F" w14:textId="77777777" w:rsidR="00A93C4F" w:rsidRPr="0032562D" w:rsidRDefault="00A93C4F" w:rsidP="00BF1850">
      <w:pPr>
        <w:numPr>
          <w:ilvl w:val="0"/>
          <w:numId w:val="12"/>
        </w:numPr>
        <w:jc w:val="both"/>
        <w:rPr>
          <w:rFonts w:cs="Arial"/>
          <w:sz w:val="22"/>
          <w:szCs w:val="22"/>
        </w:rPr>
      </w:pPr>
      <w:r w:rsidRPr="0032562D">
        <w:rPr>
          <w:rFonts w:cs="Arial"/>
          <w:sz w:val="22"/>
          <w:szCs w:val="22"/>
        </w:rPr>
        <w:t>More occupiers claiming 80% mandatory charitable relief (eg school Academies’)</w:t>
      </w:r>
    </w:p>
    <w:p w14:paraId="63B574D7" w14:textId="77777777" w:rsidR="00A93C4F" w:rsidRPr="0032562D" w:rsidRDefault="00A93C4F" w:rsidP="00A93C4F">
      <w:pPr>
        <w:numPr>
          <w:ilvl w:val="0"/>
          <w:numId w:val="12"/>
        </w:numPr>
        <w:jc w:val="both"/>
        <w:rPr>
          <w:rFonts w:cs="Arial"/>
          <w:sz w:val="22"/>
          <w:szCs w:val="22"/>
        </w:rPr>
      </w:pPr>
      <w:r w:rsidRPr="0032562D">
        <w:rPr>
          <w:rFonts w:cs="Arial"/>
          <w:sz w:val="22"/>
          <w:szCs w:val="22"/>
        </w:rPr>
        <w:t>Insufficient new commercial properties being built to offset losses</w:t>
      </w:r>
      <w:r w:rsidR="00C412DB" w:rsidRPr="0032562D">
        <w:rPr>
          <w:rFonts w:cs="Arial"/>
          <w:sz w:val="22"/>
          <w:szCs w:val="22"/>
        </w:rPr>
        <w:t xml:space="preserve">, </w:t>
      </w:r>
      <w:r w:rsidR="00F535AF" w:rsidRPr="0032562D">
        <w:rPr>
          <w:rFonts w:cs="Arial"/>
          <w:sz w:val="22"/>
          <w:szCs w:val="22"/>
        </w:rPr>
        <w:t>&amp;</w:t>
      </w:r>
    </w:p>
    <w:p w14:paraId="43503E56" w14:textId="22BE9F90" w:rsidR="00007F2A" w:rsidRPr="0032562D" w:rsidRDefault="00007F2A" w:rsidP="00A93C4F">
      <w:pPr>
        <w:numPr>
          <w:ilvl w:val="0"/>
          <w:numId w:val="12"/>
        </w:numPr>
        <w:jc w:val="both"/>
        <w:rPr>
          <w:rFonts w:cs="Arial"/>
          <w:sz w:val="22"/>
          <w:szCs w:val="22"/>
        </w:rPr>
      </w:pPr>
      <w:r w:rsidRPr="0032562D">
        <w:rPr>
          <w:rFonts w:cs="Arial"/>
          <w:sz w:val="22"/>
          <w:szCs w:val="22"/>
        </w:rPr>
        <w:t xml:space="preserve">Collection rates being impacted by the </w:t>
      </w:r>
      <w:r w:rsidR="00801A02">
        <w:rPr>
          <w:rFonts w:cs="Arial"/>
          <w:sz w:val="22"/>
          <w:szCs w:val="22"/>
        </w:rPr>
        <w:t>current recession</w:t>
      </w:r>
      <w:r w:rsidR="00336026">
        <w:rPr>
          <w:rFonts w:cs="Arial"/>
          <w:sz w:val="22"/>
          <w:szCs w:val="22"/>
        </w:rPr>
        <w:t>.</w:t>
      </w:r>
    </w:p>
    <w:p w14:paraId="78744819" w14:textId="77777777" w:rsidR="00A93C4F" w:rsidRPr="0032562D" w:rsidRDefault="00A93C4F" w:rsidP="00A93C4F">
      <w:pPr>
        <w:ind w:left="1440"/>
        <w:jc w:val="both"/>
        <w:rPr>
          <w:rFonts w:cs="Arial"/>
          <w:color w:val="FF0000"/>
          <w:sz w:val="22"/>
          <w:szCs w:val="22"/>
        </w:rPr>
      </w:pPr>
    </w:p>
    <w:p w14:paraId="10BC701D" w14:textId="4A6AECFA" w:rsidR="00A93C4F" w:rsidRPr="000B5BE9" w:rsidRDefault="00A93C4F" w:rsidP="00A93C4F">
      <w:pPr>
        <w:ind w:left="720" w:hanging="720"/>
        <w:jc w:val="both"/>
        <w:rPr>
          <w:color w:val="FF0000"/>
        </w:rPr>
      </w:pPr>
      <w:r w:rsidRPr="00A93C4F">
        <w:t>2.1</w:t>
      </w:r>
      <w:r w:rsidR="001976AE">
        <w:t>6</w:t>
      </w:r>
      <w:r w:rsidRPr="00A93C4F">
        <w:tab/>
      </w:r>
      <w:r w:rsidRPr="009546EC">
        <w:t>The tax base used to calculate the 202</w:t>
      </w:r>
      <w:r w:rsidR="000B5BE9" w:rsidRPr="009546EC">
        <w:t>3</w:t>
      </w:r>
      <w:r w:rsidRPr="009546EC">
        <w:t>/2</w:t>
      </w:r>
      <w:r w:rsidR="000B5BE9" w:rsidRPr="009546EC">
        <w:t>4</w:t>
      </w:r>
      <w:r w:rsidRPr="009546EC">
        <w:t xml:space="preserve"> rate retention amounts has </w:t>
      </w:r>
      <w:r w:rsidR="002E5C11" w:rsidRPr="009546EC">
        <w:t xml:space="preserve">not this year benefited from the </w:t>
      </w:r>
      <w:r w:rsidRPr="009546EC">
        <w:t>Sept</w:t>
      </w:r>
      <w:r w:rsidR="00C412DB" w:rsidRPr="009546EC">
        <w:t>ember</w:t>
      </w:r>
      <w:r w:rsidRPr="009546EC">
        <w:t xml:space="preserve"> 20</w:t>
      </w:r>
      <w:r w:rsidR="00007F2A" w:rsidRPr="009546EC">
        <w:t>2</w:t>
      </w:r>
      <w:r w:rsidR="000B5BE9" w:rsidRPr="009546EC">
        <w:t>2</w:t>
      </w:r>
      <w:r w:rsidRPr="009546EC">
        <w:t xml:space="preserve"> </w:t>
      </w:r>
      <w:r w:rsidR="002E5C11" w:rsidRPr="009546EC">
        <w:t>CPI</w:t>
      </w:r>
      <w:r w:rsidRPr="009546EC">
        <w:t xml:space="preserve"> which is used to calculate </w:t>
      </w:r>
      <w:r w:rsidR="00391D91" w:rsidRPr="009546EC">
        <w:t>the following financial year’s</w:t>
      </w:r>
      <w:r w:rsidRPr="009546EC">
        <w:t xml:space="preserve"> rating multiplier. </w:t>
      </w:r>
      <w:r w:rsidR="002E5C11" w:rsidRPr="009546EC">
        <w:t xml:space="preserve">This is because </w:t>
      </w:r>
      <w:r w:rsidR="001D0759" w:rsidRPr="009546EC">
        <w:t>DLUHC</w:t>
      </w:r>
      <w:r w:rsidR="002E5C11" w:rsidRPr="009546EC">
        <w:t>, has for 202</w:t>
      </w:r>
      <w:r w:rsidR="000B5BE9" w:rsidRPr="009546EC">
        <w:t>3</w:t>
      </w:r>
      <w:r w:rsidR="002E5C11" w:rsidRPr="009546EC">
        <w:t>/2</w:t>
      </w:r>
      <w:r w:rsidR="000B5BE9" w:rsidRPr="009546EC">
        <w:t>4</w:t>
      </w:r>
      <w:r w:rsidR="002E5C11" w:rsidRPr="009546EC">
        <w:t>, not applied inflation to the multiplier.</w:t>
      </w:r>
    </w:p>
    <w:p w14:paraId="307B3FF6" w14:textId="3061028F" w:rsidR="00E33182" w:rsidRPr="000B5BE9" w:rsidRDefault="00E33182" w:rsidP="00A93C4F">
      <w:pPr>
        <w:ind w:left="720" w:hanging="720"/>
        <w:jc w:val="both"/>
        <w:rPr>
          <w:rFonts w:cs="Arial"/>
          <w:color w:val="FF0000"/>
          <w:sz w:val="18"/>
          <w:szCs w:val="18"/>
        </w:rPr>
      </w:pPr>
    </w:p>
    <w:p w14:paraId="14AC0683" w14:textId="13AFC4F8" w:rsidR="00686878" w:rsidRDefault="00686878" w:rsidP="00A93C4F">
      <w:pPr>
        <w:ind w:left="720" w:hanging="720"/>
        <w:jc w:val="both"/>
        <w:rPr>
          <w:rFonts w:cs="Arial"/>
          <w:color w:val="FF0000"/>
          <w:sz w:val="18"/>
          <w:szCs w:val="18"/>
        </w:rPr>
      </w:pPr>
    </w:p>
    <w:p w14:paraId="072DA52C" w14:textId="3024B254" w:rsidR="0096576E" w:rsidRDefault="006833C4" w:rsidP="0032562D">
      <w:pPr>
        <w:ind w:left="720" w:hanging="720"/>
        <w:jc w:val="both"/>
        <w:rPr>
          <w:rFonts w:eastAsia="Calibri" w:cs="Arial"/>
          <w:szCs w:val="24"/>
        </w:rPr>
      </w:pPr>
      <w:r>
        <w:t>2.17</w:t>
      </w:r>
      <w:r>
        <w:tab/>
      </w:r>
      <w:r w:rsidR="0032562D">
        <w:t>The tax base used to calculate the 20</w:t>
      </w:r>
      <w:r>
        <w:t>23</w:t>
      </w:r>
      <w:r w:rsidR="0032562D">
        <w:t>/</w:t>
      </w:r>
      <w:r>
        <w:t>24</w:t>
      </w:r>
      <w:r w:rsidR="0032562D">
        <w:t xml:space="preserve"> rate retention amounts has </w:t>
      </w:r>
      <w:r w:rsidR="0032562D" w:rsidRPr="00355CCA">
        <w:t>however benefited from the 20</w:t>
      </w:r>
      <w:r w:rsidRPr="00355CCA">
        <w:t>23</w:t>
      </w:r>
      <w:r w:rsidR="0032562D" w:rsidRPr="00355CCA">
        <w:t xml:space="preserve"> national </w:t>
      </w:r>
      <w:r w:rsidR="0032562D">
        <w:t xml:space="preserve">rate revaluation. </w:t>
      </w:r>
      <w:r w:rsidR="00E140CF">
        <w:t>This meant that the</w:t>
      </w:r>
      <w:r w:rsidR="0032562D" w:rsidRPr="009C67A1">
        <w:rPr>
          <w:rFonts w:eastAsia="Calibri" w:cs="Arial"/>
          <w:szCs w:val="24"/>
        </w:rPr>
        <w:t xml:space="preserve"> current </w:t>
      </w:r>
      <w:r w:rsidR="0032562D">
        <w:rPr>
          <w:rFonts w:eastAsia="Calibri" w:cs="Arial"/>
          <w:szCs w:val="24"/>
        </w:rPr>
        <w:t>r</w:t>
      </w:r>
      <w:r w:rsidR="0032562D" w:rsidRPr="009C67A1">
        <w:rPr>
          <w:rFonts w:eastAsia="Calibri" w:cs="Arial"/>
          <w:szCs w:val="24"/>
        </w:rPr>
        <w:t xml:space="preserve">ateable </w:t>
      </w:r>
      <w:r w:rsidR="0032562D">
        <w:rPr>
          <w:rFonts w:eastAsia="Calibri" w:cs="Arial"/>
          <w:szCs w:val="24"/>
        </w:rPr>
        <w:t>v</w:t>
      </w:r>
      <w:r w:rsidR="0032562D" w:rsidRPr="009C67A1">
        <w:rPr>
          <w:rFonts w:eastAsia="Calibri" w:cs="Arial"/>
          <w:szCs w:val="24"/>
        </w:rPr>
        <w:t>alues</w:t>
      </w:r>
      <w:r w:rsidR="0032562D">
        <w:rPr>
          <w:rFonts w:eastAsia="Calibri" w:cs="Arial"/>
          <w:szCs w:val="24"/>
        </w:rPr>
        <w:t xml:space="preserve"> (RV’s)</w:t>
      </w:r>
      <w:r w:rsidR="0032562D" w:rsidRPr="009C67A1">
        <w:rPr>
          <w:rFonts w:eastAsia="Calibri" w:cs="Arial"/>
          <w:szCs w:val="24"/>
        </w:rPr>
        <w:t xml:space="preserve"> c</w:t>
      </w:r>
      <w:r w:rsidR="0032562D">
        <w:rPr>
          <w:rFonts w:eastAsia="Calibri" w:cs="Arial"/>
          <w:szCs w:val="24"/>
        </w:rPr>
        <w:t>a</w:t>
      </w:r>
      <w:r w:rsidR="0032562D" w:rsidRPr="009C67A1">
        <w:rPr>
          <w:rFonts w:eastAsia="Calibri" w:cs="Arial"/>
          <w:szCs w:val="24"/>
        </w:rPr>
        <w:t>me into force from 1 April 201</w:t>
      </w:r>
      <w:r w:rsidR="0077124B">
        <w:rPr>
          <w:rFonts w:eastAsia="Calibri" w:cs="Arial"/>
          <w:szCs w:val="24"/>
        </w:rPr>
        <w:t>7</w:t>
      </w:r>
      <w:r w:rsidR="0032562D" w:rsidRPr="009C67A1">
        <w:rPr>
          <w:rFonts w:eastAsia="Calibri" w:cs="Arial"/>
          <w:szCs w:val="24"/>
        </w:rPr>
        <w:t xml:space="preserve"> </w:t>
      </w:r>
      <w:r w:rsidR="0096576E">
        <w:rPr>
          <w:rFonts w:eastAsia="Calibri" w:cs="Arial"/>
          <w:szCs w:val="24"/>
        </w:rPr>
        <w:t>have been replaced with the 2023 re-valuation values.</w:t>
      </w:r>
    </w:p>
    <w:p w14:paraId="3CEAA38F" w14:textId="77777777" w:rsidR="0096576E" w:rsidRDefault="0096576E" w:rsidP="0032562D">
      <w:pPr>
        <w:ind w:left="720" w:hanging="720"/>
        <w:jc w:val="both"/>
        <w:rPr>
          <w:rFonts w:eastAsia="Calibri" w:cs="Arial"/>
          <w:szCs w:val="24"/>
        </w:rPr>
      </w:pPr>
    </w:p>
    <w:p w14:paraId="7597A5F2" w14:textId="39F69E6D" w:rsidR="0032562D" w:rsidRPr="006E1A82" w:rsidRDefault="0032562D" w:rsidP="00253B49">
      <w:pPr>
        <w:ind w:left="720"/>
        <w:jc w:val="both"/>
        <w:rPr>
          <w:rFonts w:cs="Arial"/>
          <w:szCs w:val="24"/>
        </w:rPr>
      </w:pPr>
      <w:r w:rsidRPr="009C67A1">
        <w:rPr>
          <w:rFonts w:eastAsia="Calibri" w:cs="Arial"/>
          <w:szCs w:val="24"/>
        </w:rPr>
        <w:t xml:space="preserve">The last valuation </w:t>
      </w:r>
      <w:r>
        <w:rPr>
          <w:rFonts w:eastAsia="Calibri" w:cs="Arial"/>
          <w:szCs w:val="24"/>
        </w:rPr>
        <w:t>values were based on valuations as at</w:t>
      </w:r>
      <w:r w:rsidRPr="009C67A1">
        <w:rPr>
          <w:rFonts w:eastAsia="Calibri" w:cs="Arial"/>
          <w:szCs w:val="24"/>
        </w:rPr>
        <w:t xml:space="preserve"> April 20</w:t>
      </w:r>
      <w:r w:rsidR="00253B49">
        <w:rPr>
          <w:rFonts w:eastAsia="Calibri" w:cs="Arial"/>
          <w:szCs w:val="24"/>
        </w:rPr>
        <w:t>15</w:t>
      </w:r>
      <w:r w:rsidRPr="009C67A1">
        <w:rPr>
          <w:rFonts w:eastAsia="Calibri" w:cs="Arial"/>
          <w:szCs w:val="24"/>
        </w:rPr>
        <w:t>.</w:t>
      </w:r>
      <w:r>
        <w:rPr>
          <w:rFonts w:eastAsia="Calibri" w:cs="Arial"/>
          <w:szCs w:val="24"/>
        </w:rPr>
        <w:t xml:space="preserve"> </w:t>
      </w:r>
      <w:r>
        <w:rPr>
          <w:rFonts w:cs="Arial"/>
          <w:szCs w:val="24"/>
        </w:rPr>
        <w:t xml:space="preserve">The retention amounts have been estimated based on the draft </w:t>
      </w:r>
      <w:r w:rsidR="00C60E95">
        <w:rPr>
          <w:rFonts w:cs="Arial"/>
          <w:szCs w:val="24"/>
        </w:rPr>
        <w:t xml:space="preserve">2023 </w:t>
      </w:r>
      <w:r w:rsidR="009C707E">
        <w:rPr>
          <w:rFonts w:cs="Arial"/>
          <w:szCs w:val="24"/>
        </w:rPr>
        <w:t>L</w:t>
      </w:r>
      <w:r>
        <w:rPr>
          <w:rFonts w:cs="Arial"/>
          <w:szCs w:val="24"/>
        </w:rPr>
        <w:t xml:space="preserve">ist RV’s supplied by the Valuation Office Agency (VOA) as at </w:t>
      </w:r>
      <w:r w:rsidR="00753B94" w:rsidRPr="006E1A82">
        <w:rPr>
          <w:rFonts w:cs="Arial"/>
          <w:szCs w:val="24"/>
        </w:rPr>
        <w:t>17/11/2022</w:t>
      </w:r>
      <w:r w:rsidRPr="006E1A82">
        <w:rPr>
          <w:rFonts w:cs="Arial"/>
          <w:szCs w:val="24"/>
        </w:rPr>
        <w:t xml:space="preserve">. Harrow’s rateable values increased by </w:t>
      </w:r>
      <w:r w:rsidR="00A95FDF" w:rsidRPr="006E1A82">
        <w:rPr>
          <w:rFonts w:cs="Arial"/>
          <w:szCs w:val="24"/>
        </w:rPr>
        <w:t>8.3</w:t>
      </w:r>
      <w:r w:rsidRPr="006E1A82">
        <w:t>% which resulte</w:t>
      </w:r>
      <w:r w:rsidR="004D7834" w:rsidRPr="006E1A82">
        <w:t xml:space="preserve">d </w:t>
      </w:r>
      <w:r w:rsidRPr="006E1A82">
        <w:t xml:space="preserve">in a </w:t>
      </w:r>
      <w:r w:rsidR="00A95FDF" w:rsidRPr="006E1A82">
        <w:t xml:space="preserve">slightly </w:t>
      </w:r>
      <w:r w:rsidRPr="006E1A82">
        <w:t xml:space="preserve">higher retention amount. </w:t>
      </w:r>
    </w:p>
    <w:p w14:paraId="55C62D79" w14:textId="7AFEC5ED" w:rsidR="0032562D" w:rsidRDefault="0032562D" w:rsidP="0032562D">
      <w:pPr>
        <w:spacing w:before="100" w:beforeAutospacing="1" w:after="100" w:afterAutospacing="1"/>
        <w:ind w:left="720"/>
        <w:jc w:val="both"/>
        <w:rPr>
          <w:rFonts w:eastAsia="Calibri" w:cs="Arial"/>
          <w:szCs w:val="24"/>
        </w:rPr>
      </w:pPr>
      <w:r w:rsidRPr="006E1A82">
        <w:rPr>
          <w:rFonts w:eastAsia="Calibri" w:cs="Arial"/>
          <w:szCs w:val="24"/>
        </w:rPr>
        <w:t>It will not be possible for rate payers to appeal against the new RV’s until they come into force on 1 April 20</w:t>
      </w:r>
      <w:r w:rsidR="007101DD" w:rsidRPr="006E1A82">
        <w:rPr>
          <w:rFonts w:eastAsia="Calibri" w:cs="Arial"/>
          <w:szCs w:val="24"/>
        </w:rPr>
        <w:t>23</w:t>
      </w:r>
      <w:r w:rsidRPr="006E1A82">
        <w:rPr>
          <w:rFonts w:eastAsia="Calibri" w:cs="Arial"/>
          <w:szCs w:val="24"/>
        </w:rPr>
        <w:t xml:space="preserve">. Whilst it is impossible to predict the level of appeals that might occur, this issue carries considerable risk and a larger than usual allowance has been built into the figures to mitigate against excessive losses. This is because historically Harrow has </w:t>
      </w:r>
      <w:r>
        <w:rPr>
          <w:rFonts w:eastAsia="Calibri" w:cs="Arial"/>
          <w:szCs w:val="24"/>
        </w:rPr>
        <w:t>received a disproportionate amount of appeals compared to London and indeed the rest of the country.</w:t>
      </w:r>
      <w:r w:rsidR="00FB5EFF">
        <w:rPr>
          <w:rFonts w:eastAsia="Calibri" w:cs="Arial"/>
          <w:szCs w:val="24"/>
        </w:rPr>
        <w:t xml:space="preserve"> Losses to the rateable value from the 2017 List to date </w:t>
      </w:r>
      <w:r w:rsidR="00C61E0C">
        <w:rPr>
          <w:rFonts w:eastAsia="Calibri" w:cs="Arial"/>
          <w:szCs w:val="24"/>
        </w:rPr>
        <w:t>are approximately</w:t>
      </w:r>
      <w:r w:rsidR="00FB5EFF">
        <w:rPr>
          <w:rFonts w:eastAsia="Calibri" w:cs="Arial"/>
          <w:szCs w:val="24"/>
        </w:rPr>
        <w:t xml:space="preserve"> 6.3% compared with 4.7% </w:t>
      </w:r>
      <w:r w:rsidR="00804860">
        <w:rPr>
          <w:rFonts w:eastAsia="Calibri" w:cs="Arial"/>
          <w:szCs w:val="24"/>
        </w:rPr>
        <w:t>that the Government estimated would be lost nationally.</w:t>
      </w:r>
    </w:p>
    <w:p w14:paraId="59240E92" w14:textId="574FE4E2" w:rsidR="0032562D" w:rsidRDefault="0032562D" w:rsidP="00A93C4F">
      <w:pPr>
        <w:ind w:left="720" w:hanging="720"/>
        <w:jc w:val="both"/>
        <w:rPr>
          <w:rFonts w:cs="Arial"/>
          <w:color w:val="FF0000"/>
          <w:sz w:val="18"/>
          <w:szCs w:val="18"/>
        </w:rPr>
      </w:pPr>
    </w:p>
    <w:p w14:paraId="0FAB1860" w14:textId="15316259" w:rsidR="005A550F" w:rsidRPr="00346A85" w:rsidRDefault="00057B25" w:rsidP="00346A85">
      <w:pPr>
        <w:ind w:left="720"/>
        <w:jc w:val="both"/>
        <w:rPr>
          <w:rFonts w:cs="Arial"/>
          <w:b/>
          <w:bCs/>
          <w:sz w:val="18"/>
          <w:szCs w:val="18"/>
        </w:rPr>
      </w:pPr>
      <w:r w:rsidRPr="00346A85">
        <w:rPr>
          <w:rFonts w:cs="Arial"/>
          <w:b/>
          <w:bCs/>
        </w:rPr>
        <w:t xml:space="preserve">Implementation of </w:t>
      </w:r>
      <w:r w:rsidR="00CF0250" w:rsidRPr="00346A85">
        <w:rPr>
          <w:rFonts w:cs="Arial"/>
          <w:b/>
          <w:bCs/>
        </w:rPr>
        <w:t>Further reliefs for the period 1/4/2</w:t>
      </w:r>
      <w:r w:rsidR="00BF56CF">
        <w:rPr>
          <w:rFonts w:cs="Arial"/>
          <w:b/>
          <w:bCs/>
        </w:rPr>
        <w:t>3</w:t>
      </w:r>
      <w:r w:rsidR="00CF0250" w:rsidRPr="00346A85">
        <w:rPr>
          <w:rFonts w:cs="Arial"/>
          <w:b/>
          <w:bCs/>
        </w:rPr>
        <w:t xml:space="preserve"> to 31/3/2</w:t>
      </w:r>
      <w:r w:rsidR="00BF56CF">
        <w:rPr>
          <w:rFonts w:cs="Arial"/>
          <w:b/>
          <w:bCs/>
        </w:rPr>
        <w:t>4</w:t>
      </w:r>
      <w:r w:rsidR="00CF0250" w:rsidRPr="00346A85">
        <w:rPr>
          <w:rFonts w:cs="Arial"/>
          <w:b/>
          <w:bCs/>
        </w:rPr>
        <w:t xml:space="preserve"> </w:t>
      </w:r>
      <w:r w:rsidR="005709DC">
        <w:rPr>
          <w:rFonts w:cs="Arial"/>
          <w:b/>
          <w:bCs/>
        </w:rPr>
        <w:t xml:space="preserve"> and further financial years, </w:t>
      </w:r>
      <w:r w:rsidR="00CF0250" w:rsidRPr="00346A85">
        <w:rPr>
          <w:rFonts w:cs="Arial"/>
          <w:b/>
          <w:bCs/>
        </w:rPr>
        <w:t xml:space="preserve">as </w:t>
      </w:r>
      <w:r w:rsidRPr="00346A85">
        <w:rPr>
          <w:rFonts w:cs="Arial"/>
          <w:b/>
          <w:bCs/>
        </w:rPr>
        <w:t xml:space="preserve">announced </w:t>
      </w:r>
      <w:r w:rsidR="00346A85" w:rsidRPr="00346A85">
        <w:rPr>
          <w:rFonts w:cs="Arial"/>
          <w:b/>
          <w:bCs/>
        </w:rPr>
        <w:t xml:space="preserve">in the </w:t>
      </w:r>
      <w:r w:rsidRPr="00346A85">
        <w:rPr>
          <w:rFonts w:cs="Arial"/>
          <w:b/>
          <w:bCs/>
        </w:rPr>
        <w:t>Autumn Budget</w:t>
      </w:r>
    </w:p>
    <w:p w14:paraId="001D9A8B" w14:textId="77777777" w:rsidR="005A550F" w:rsidRPr="00DE31C1" w:rsidRDefault="005A550F" w:rsidP="00A93C4F">
      <w:pPr>
        <w:ind w:left="720" w:hanging="720"/>
        <w:jc w:val="both"/>
        <w:rPr>
          <w:rFonts w:cs="Arial"/>
          <w:sz w:val="18"/>
          <w:szCs w:val="18"/>
        </w:rPr>
      </w:pPr>
    </w:p>
    <w:p w14:paraId="72BAC985" w14:textId="11B606EA" w:rsidR="00504012" w:rsidRPr="00143E98" w:rsidRDefault="00E33182" w:rsidP="00A93C4F">
      <w:pPr>
        <w:ind w:left="720" w:hanging="720"/>
        <w:jc w:val="both"/>
        <w:rPr>
          <w:rFonts w:cs="Arial"/>
          <w:szCs w:val="24"/>
        </w:rPr>
      </w:pPr>
      <w:r w:rsidRPr="00DE31C1">
        <w:rPr>
          <w:rFonts w:cs="Arial"/>
          <w:szCs w:val="24"/>
        </w:rPr>
        <w:t>2.1</w:t>
      </w:r>
      <w:r w:rsidR="001976AE">
        <w:rPr>
          <w:rFonts w:cs="Arial"/>
          <w:szCs w:val="24"/>
        </w:rPr>
        <w:t>7</w:t>
      </w:r>
      <w:r w:rsidRPr="00143E98">
        <w:rPr>
          <w:rFonts w:cs="Arial"/>
          <w:szCs w:val="24"/>
        </w:rPr>
        <w:tab/>
      </w:r>
      <w:r w:rsidR="0060632D" w:rsidRPr="00143E98">
        <w:rPr>
          <w:rFonts w:cs="Arial"/>
          <w:szCs w:val="24"/>
        </w:rPr>
        <w:t xml:space="preserve">At the Budget </w:t>
      </w:r>
      <w:r w:rsidR="00CB78A8" w:rsidRPr="00143E98">
        <w:rPr>
          <w:rFonts w:cs="Arial"/>
          <w:szCs w:val="24"/>
        </w:rPr>
        <w:t xml:space="preserve">announcement </w:t>
      </w:r>
      <w:r w:rsidR="0060632D" w:rsidRPr="00143E98">
        <w:rPr>
          <w:rFonts w:cs="Arial"/>
          <w:szCs w:val="24"/>
        </w:rPr>
        <w:t xml:space="preserve">on </w:t>
      </w:r>
      <w:r w:rsidR="00D80204" w:rsidRPr="00143E98">
        <w:rPr>
          <w:rFonts w:cs="Arial"/>
          <w:szCs w:val="24"/>
        </w:rPr>
        <w:t>17</w:t>
      </w:r>
      <w:r w:rsidR="0060632D" w:rsidRPr="00143E98">
        <w:rPr>
          <w:rFonts w:cs="Arial"/>
          <w:szCs w:val="24"/>
        </w:rPr>
        <w:t xml:space="preserve"> </w:t>
      </w:r>
      <w:r w:rsidR="00D80204" w:rsidRPr="00143E98">
        <w:rPr>
          <w:rFonts w:cs="Arial"/>
          <w:szCs w:val="24"/>
        </w:rPr>
        <w:t>November</w:t>
      </w:r>
      <w:r w:rsidR="0060632D" w:rsidRPr="00143E98">
        <w:rPr>
          <w:rFonts w:cs="Arial"/>
          <w:szCs w:val="24"/>
        </w:rPr>
        <w:t xml:space="preserve"> 202</w:t>
      </w:r>
      <w:r w:rsidR="00D80204" w:rsidRPr="00143E98">
        <w:rPr>
          <w:rFonts w:cs="Arial"/>
          <w:szCs w:val="24"/>
        </w:rPr>
        <w:t>2</w:t>
      </w:r>
      <w:r w:rsidR="0060632D" w:rsidRPr="00143E98">
        <w:rPr>
          <w:rFonts w:cs="Arial"/>
          <w:szCs w:val="24"/>
        </w:rPr>
        <w:t xml:space="preserve">, the Chancellor </w:t>
      </w:r>
      <w:r w:rsidR="002D65E7" w:rsidRPr="00143E98">
        <w:rPr>
          <w:rFonts w:cs="Arial"/>
          <w:szCs w:val="24"/>
        </w:rPr>
        <w:t xml:space="preserve">also </w:t>
      </w:r>
      <w:r w:rsidR="00CB78A8" w:rsidRPr="00143E98">
        <w:rPr>
          <w:rFonts w:cs="Arial"/>
          <w:szCs w:val="24"/>
        </w:rPr>
        <w:t>stated</w:t>
      </w:r>
      <w:r w:rsidR="0060632D" w:rsidRPr="00143E98">
        <w:rPr>
          <w:rFonts w:cs="Arial"/>
          <w:szCs w:val="24"/>
        </w:rPr>
        <w:t xml:space="preserve"> that the Government would provide a package of business rates measures </w:t>
      </w:r>
      <w:r w:rsidR="00C51AFF" w:rsidRPr="00143E98">
        <w:rPr>
          <w:rFonts w:cs="Arial"/>
          <w:szCs w:val="24"/>
        </w:rPr>
        <w:t>for 202</w:t>
      </w:r>
      <w:r w:rsidR="00827BFF">
        <w:rPr>
          <w:rFonts w:cs="Arial"/>
          <w:szCs w:val="24"/>
        </w:rPr>
        <w:t>3</w:t>
      </w:r>
      <w:r w:rsidR="00C51AFF" w:rsidRPr="00143E98">
        <w:rPr>
          <w:rFonts w:cs="Arial"/>
          <w:szCs w:val="24"/>
        </w:rPr>
        <w:t>/2</w:t>
      </w:r>
      <w:r w:rsidR="00827BFF">
        <w:rPr>
          <w:rFonts w:cs="Arial"/>
          <w:szCs w:val="24"/>
        </w:rPr>
        <w:t>4</w:t>
      </w:r>
      <w:r w:rsidR="00C51AFF" w:rsidRPr="00143E98">
        <w:rPr>
          <w:rFonts w:cs="Arial"/>
          <w:szCs w:val="24"/>
        </w:rPr>
        <w:t xml:space="preserve"> </w:t>
      </w:r>
      <w:r w:rsidR="005E5AAC" w:rsidRPr="00143E98">
        <w:rPr>
          <w:rFonts w:cs="Arial"/>
          <w:szCs w:val="24"/>
        </w:rPr>
        <w:t>in ta</w:t>
      </w:r>
      <w:r w:rsidR="00143E98">
        <w:rPr>
          <w:rFonts w:cs="Arial"/>
          <w:szCs w:val="24"/>
        </w:rPr>
        <w:t>nd</w:t>
      </w:r>
      <w:r w:rsidR="005E5AAC" w:rsidRPr="00143E98">
        <w:rPr>
          <w:rFonts w:cs="Arial"/>
          <w:szCs w:val="24"/>
        </w:rPr>
        <w:t>e</w:t>
      </w:r>
      <w:r w:rsidR="00143E98">
        <w:rPr>
          <w:rFonts w:cs="Arial"/>
          <w:szCs w:val="24"/>
        </w:rPr>
        <w:t>m</w:t>
      </w:r>
      <w:r w:rsidR="005E5AAC" w:rsidRPr="00143E98">
        <w:rPr>
          <w:rFonts w:cs="Arial"/>
          <w:szCs w:val="24"/>
        </w:rPr>
        <w:t xml:space="preserve"> with the Business Rates re-valuation which comes into effect on the 1/4/2023</w:t>
      </w:r>
      <w:r w:rsidR="001B1EAC" w:rsidRPr="00143E98">
        <w:rPr>
          <w:rFonts w:cs="Arial"/>
          <w:szCs w:val="24"/>
        </w:rPr>
        <w:t xml:space="preserve">, </w:t>
      </w:r>
      <w:r w:rsidR="00504012" w:rsidRPr="00143E98">
        <w:rPr>
          <w:rFonts w:cs="Arial"/>
          <w:szCs w:val="24"/>
        </w:rPr>
        <w:t>namely</w:t>
      </w:r>
    </w:p>
    <w:p w14:paraId="56954042" w14:textId="6E3FED70" w:rsidR="00504012" w:rsidRPr="00BF56CF" w:rsidRDefault="00504012" w:rsidP="00504012">
      <w:pPr>
        <w:pStyle w:val="Default"/>
        <w:rPr>
          <w:color w:val="FF0000"/>
          <w:sz w:val="23"/>
          <w:szCs w:val="23"/>
        </w:rPr>
      </w:pPr>
      <w:r w:rsidRPr="00BF56CF">
        <w:rPr>
          <w:color w:val="FF0000"/>
        </w:rPr>
        <w:tab/>
      </w:r>
      <w:r w:rsidRPr="00BF56CF">
        <w:rPr>
          <w:color w:val="FF0000"/>
          <w:sz w:val="23"/>
          <w:szCs w:val="23"/>
        </w:rPr>
        <w:t xml:space="preserve"> </w:t>
      </w:r>
    </w:p>
    <w:p w14:paraId="36CF1618" w14:textId="252B4CF9" w:rsidR="00504012" w:rsidRPr="00422C05" w:rsidRDefault="00504012" w:rsidP="00E219FE">
      <w:pPr>
        <w:pStyle w:val="Default"/>
        <w:numPr>
          <w:ilvl w:val="0"/>
          <w:numId w:val="16"/>
        </w:numPr>
        <w:rPr>
          <w:color w:val="auto"/>
          <w:sz w:val="23"/>
          <w:szCs w:val="23"/>
        </w:rPr>
      </w:pPr>
      <w:r w:rsidRPr="00422C05">
        <w:rPr>
          <w:color w:val="auto"/>
          <w:sz w:val="23"/>
          <w:szCs w:val="23"/>
        </w:rPr>
        <w:t>A</w:t>
      </w:r>
      <w:r w:rsidR="005860B3" w:rsidRPr="00422C05">
        <w:rPr>
          <w:color w:val="auto"/>
          <w:sz w:val="23"/>
          <w:szCs w:val="23"/>
        </w:rPr>
        <w:t xml:space="preserve">n </w:t>
      </w:r>
      <w:r w:rsidR="00505695" w:rsidRPr="00422C05">
        <w:rPr>
          <w:color w:val="auto"/>
          <w:sz w:val="23"/>
          <w:szCs w:val="23"/>
        </w:rPr>
        <w:t>extension of the retail relief scheme</w:t>
      </w:r>
      <w:r w:rsidRPr="00422C05">
        <w:rPr>
          <w:color w:val="auto"/>
          <w:sz w:val="23"/>
          <w:szCs w:val="23"/>
        </w:rPr>
        <w:t xml:space="preserve"> for eligible retail, hospitality and leisure properties with </w:t>
      </w:r>
      <w:r w:rsidR="00505695" w:rsidRPr="00422C05">
        <w:rPr>
          <w:color w:val="auto"/>
          <w:sz w:val="23"/>
          <w:szCs w:val="23"/>
        </w:rPr>
        <w:t>75</w:t>
      </w:r>
      <w:r w:rsidRPr="00422C05">
        <w:rPr>
          <w:color w:val="auto"/>
          <w:sz w:val="23"/>
          <w:szCs w:val="23"/>
        </w:rPr>
        <w:t xml:space="preserve">% relief </w:t>
      </w:r>
      <w:r w:rsidR="00B65143" w:rsidRPr="00422C05">
        <w:rPr>
          <w:color w:val="auto"/>
          <w:sz w:val="23"/>
          <w:szCs w:val="23"/>
        </w:rPr>
        <w:t xml:space="preserve">(increased from 50% in </w:t>
      </w:r>
      <w:r w:rsidR="006C2054" w:rsidRPr="00422C05">
        <w:rPr>
          <w:color w:val="auto"/>
          <w:sz w:val="23"/>
          <w:szCs w:val="23"/>
        </w:rPr>
        <w:t>the previous year</w:t>
      </w:r>
      <w:r w:rsidR="00B65143" w:rsidRPr="00422C05">
        <w:rPr>
          <w:color w:val="auto"/>
          <w:sz w:val="23"/>
          <w:szCs w:val="23"/>
        </w:rPr>
        <w:t xml:space="preserve">) </w:t>
      </w:r>
      <w:r w:rsidRPr="00422C05">
        <w:rPr>
          <w:color w:val="auto"/>
          <w:sz w:val="23"/>
          <w:szCs w:val="23"/>
        </w:rPr>
        <w:t xml:space="preserve">on rates bills up to £110,000 per business </w:t>
      </w:r>
    </w:p>
    <w:p w14:paraId="0934B00C" w14:textId="77777777" w:rsidR="00946999" w:rsidRPr="00422C05" w:rsidRDefault="00946999" w:rsidP="00946999">
      <w:pPr>
        <w:pStyle w:val="Default"/>
        <w:ind w:left="1352"/>
        <w:rPr>
          <w:color w:val="auto"/>
          <w:sz w:val="23"/>
          <w:szCs w:val="23"/>
        </w:rPr>
      </w:pPr>
    </w:p>
    <w:p w14:paraId="0FD95106" w14:textId="3831EE78" w:rsidR="001E1072" w:rsidRPr="00422C05" w:rsidRDefault="00E219FE" w:rsidP="00E219FE">
      <w:pPr>
        <w:pStyle w:val="Default"/>
        <w:numPr>
          <w:ilvl w:val="0"/>
          <w:numId w:val="16"/>
        </w:numPr>
        <w:rPr>
          <w:color w:val="auto"/>
          <w:sz w:val="23"/>
          <w:szCs w:val="23"/>
        </w:rPr>
      </w:pPr>
      <w:r w:rsidRPr="00422C05">
        <w:rPr>
          <w:color w:val="auto"/>
          <w:sz w:val="23"/>
          <w:szCs w:val="23"/>
        </w:rPr>
        <w:t xml:space="preserve">The </w:t>
      </w:r>
      <w:r w:rsidR="00946999" w:rsidRPr="00422C05">
        <w:rPr>
          <w:color w:val="auto"/>
          <w:sz w:val="23"/>
          <w:szCs w:val="23"/>
        </w:rPr>
        <w:t xml:space="preserve">introduction of a new </w:t>
      </w:r>
      <w:r w:rsidRPr="00422C05">
        <w:rPr>
          <w:color w:val="auto"/>
          <w:sz w:val="23"/>
          <w:szCs w:val="23"/>
        </w:rPr>
        <w:t xml:space="preserve">Transitional Relief </w:t>
      </w:r>
      <w:r w:rsidR="001E1072" w:rsidRPr="00422C05">
        <w:rPr>
          <w:color w:val="auto"/>
          <w:sz w:val="23"/>
          <w:szCs w:val="23"/>
        </w:rPr>
        <w:t>Scheme</w:t>
      </w:r>
      <w:r w:rsidR="00C36249" w:rsidRPr="00422C05">
        <w:rPr>
          <w:color w:val="auto"/>
          <w:sz w:val="23"/>
          <w:szCs w:val="23"/>
        </w:rPr>
        <w:t>, with upward transition</w:t>
      </w:r>
      <w:r w:rsidR="0018793F" w:rsidRPr="00422C05">
        <w:rPr>
          <w:color w:val="auto"/>
          <w:sz w:val="23"/>
          <w:szCs w:val="23"/>
        </w:rPr>
        <w:t>al relief supporting properties by capping</w:t>
      </w:r>
      <w:r w:rsidR="008176FF" w:rsidRPr="00422C05">
        <w:rPr>
          <w:color w:val="auto"/>
          <w:sz w:val="23"/>
          <w:szCs w:val="23"/>
        </w:rPr>
        <w:t xml:space="preserve"> bill increases caused by the changes in rateable values at the 2023 re-valuation.</w:t>
      </w:r>
    </w:p>
    <w:p w14:paraId="1F0617E4" w14:textId="77777777" w:rsidR="001E1072" w:rsidRPr="00422C05" w:rsidRDefault="001E1072" w:rsidP="001E1072">
      <w:pPr>
        <w:pStyle w:val="ListParagraph"/>
        <w:rPr>
          <w:sz w:val="23"/>
          <w:szCs w:val="23"/>
        </w:rPr>
      </w:pPr>
    </w:p>
    <w:p w14:paraId="3830C663" w14:textId="0226D892" w:rsidR="00E219FE" w:rsidRPr="00422C05" w:rsidRDefault="00C07745" w:rsidP="00E219FE">
      <w:pPr>
        <w:pStyle w:val="Default"/>
        <w:numPr>
          <w:ilvl w:val="0"/>
          <w:numId w:val="16"/>
        </w:numPr>
        <w:rPr>
          <w:color w:val="auto"/>
          <w:sz w:val="23"/>
          <w:szCs w:val="23"/>
        </w:rPr>
      </w:pPr>
      <w:r w:rsidRPr="00422C05">
        <w:rPr>
          <w:color w:val="auto"/>
          <w:sz w:val="23"/>
          <w:szCs w:val="23"/>
        </w:rPr>
        <w:t xml:space="preserve">A continuation of the </w:t>
      </w:r>
      <w:r w:rsidR="00E219FE" w:rsidRPr="00422C05">
        <w:rPr>
          <w:color w:val="auto"/>
          <w:sz w:val="23"/>
          <w:szCs w:val="23"/>
        </w:rPr>
        <w:t xml:space="preserve">Supporting Small Business schemes </w:t>
      </w:r>
      <w:r w:rsidRPr="00422C05">
        <w:rPr>
          <w:color w:val="auto"/>
          <w:sz w:val="23"/>
          <w:szCs w:val="23"/>
        </w:rPr>
        <w:t xml:space="preserve"> (SSBS)</w:t>
      </w:r>
      <w:r w:rsidR="00F011BC" w:rsidRPr="00422C05">
        <w:rPr>
          <w:color w:val="auto"/>
          <w:sz w:val="23"/>
          <w:szCs w:val="23"/>
        </w:rPr>
        <w:t xml:space="preserve"> which will support</w:t>
      </w:r>
      <w:r w:rsidR="0053467E" w:rsidRPr="00422C05">
        <w:rPr>
          <w:color w:val="auto"/>
          <w:sz w:val="23"/>
          <w:szCs w:val="23"/>
        </w:rPr>
        <w:t xml:space="preserve"> the smallest businesses </w:t>
      </w:r>
      <w:r w:rsidR="00A26D84" w:rsidRPr="00422C05">
        <w:rPr>
          <w:color w:val="auto"/>
          <w:sz w:val="23"/>
          <w:szCs w:val="23"/>
        </w:rPr>
        <w:t>by ensuring increases or the loss of re</w:t>
      </w:r>
      <w:r w:rsidR="00A43C95" w:rsidRPr="00422C05">
        <w:rPr>
          <w:color w:val="auto"/>
          <w:sz w:val="23"/>
          <w:szCs w:val="23"/>
        </w:rPr>
        <w:t>liefs is capped at £600 per year from 1/4/2023</w:t>
      </w:r>
      <w:r w:rsidR="00426CB4" w:rsidRPr="00422C05">
        <w:rPr>
          <w:color w:val="auto"/>
          <w:sz w:val="23"/>
          <w:szCs w:val="23"/>
        </w:rPr>
        <w:t>.</w:t>
      </w:r>
    </w:p>
    <w:p w14:paraId="3506201A" w14:textId="77777777" w:rsidR="00E219FE" w:rsidRPr="00422C05" w:rsidRDefault="00E219FE" w:rsidP="00E219FE">
      <w:pPr>
        <w:pStyle w:val="Default"/>
        <w:ind w:left="1352"/>
        <w:rPr>
          <w:color w:val="auto"/>
          <w:sz w:val="23"/>
          <w:szCs w:val="23"/>
        </w:rPr>
      </w:pPr>
    </w:p>
    <w:p w14:paraId="418F62B2" w14:textId="34B0B367" w:rsidR="00504012" w:rsidRPr="00422C05" w:rsidRDefault="00504012" w:rsidP="00E219FE">
      <w:pPr>
        <w:pStyle w:val="Default"/>
        <w:numPr>
          <w:ilvl w:val="0"/>
          <w:numId w:val="16"/>
        </w:numPr>
        <w:rPr>
          <w:color w:val="auto"/>
          <w:sz w:val="23"/>
          <w:szCs w:val="23"/>
        </w:rPr>
      </w:pPr>
      <w:r w:rsidRPr="00422C05">
        <w:rPr>
          <w:color w:val="auto"/>
          <w:sz w:val="23"/>
          <w:szCs w:val="23"/>
        </w:rPr>
        <w:t xml:space="preserve">A freezing of the multipliers at 49.9p (small business multiplier) and 51.2p (standard multiplier) </w:t>
      </w:r>
    </w:p>
    <w:p w14:paraId="0339F224" w14:textId="77777777" w:rsidR="00C81CB0" w:rsidRPr="00422C05" w:rsidRDefault="00C81CB0" w:rsidP="00C81CB0">
      <w:pPr>
        <w:pStyle w:val="ListParagraph"/>
        <w:rPr>
          <w:sz w:val="23"/>
          <w:szCs w:val="23"/>
        </w:rPr>
      </w:pPr>
    </w:p>
    <w:p w14:paraId="72C6A709" w14:textId="59F42A95" w:rsidR="003D2A30" w:rsidRPr="00422C05" w:rsidRDefault="001976AE" w:rsidP="001976AE">
      <w:pPr>
        <w:ind w:left="720" w:hanging="720"/>
        <w:jc w:val="both"/>
        <w:rPr>
          <w:sz w:val="23"/>
          <w:szCs w:val="23"/>
        </w:rPr>
      </w:pPr>
      <w:r w:rsidRPr="00422C05">
        <w:rPr>
          <w:sz w:val="23"/>
          <w:szCs w:val="23"/>
        </w:rPr>
        <w:t xml:space="preserve">2.18 </w:t>
      </w:r>
      <w:r w:rsidRPr="00422C05">
        <w:rPr>
          <w:sz w:val="23"/>
          <w:szCs w:val="23"/>
        </w:rPr>
        <w:tab/>
      </w:r>
      <w:r w:rsidR="005A48C8" w:rsidRPr="00422C05">
        <w:rPr>
          <w:sz w:val="23"/>
          <w:szCs w:val="23"/>
        </w:rPr>
        <w:t xml:space="preserve">With regards point 1 - </w:t>
      </w:r>
      <w:r w:rsidR="003D2A30" w:rsidRPr="00422C05">
        <w:rPr>
          <w:sz w:val="23"/>
          <w:szCs w:val="23"/>
        </w:rPr>
        <w:t>The scope of the discount for 202</w:t>
      </w:r>
      <w:r w:rsidR="00B922F3">
        <w:rPr>
          <w:sz w:val="23"/>
          <w:szCs w:val="23"/>
        </w:rPr>
        <w:t>3</w:t>
      </w:r>
      <w:r w:rsidR="003D2A30" w:rsidRPr="00422C05">
        <w:rPr>
          <w:sz w:val="23"/>
          <w:szCs w:val="23"/>
        </w:rPr>
        <w:t>/2</w:t>
      </w:r>
      <w:r w:rsidR="00B922F3">
        <w:rPr>
          <w:sz w:val="23"/>
          <w:szCs w:val="23"/>
        </w:rPr>
        <w:t>4</w:t>
      </w:r>
      <w:r w:rsidR="003D2A30" w:rsidRPr="00422C05">
        <w:rPr>
          <w:sz w:val="23"/>
          <w:szCs w:val="23"/>
        </w:rPr>
        <w:t xml:space="preserve"> will </w:t>
      </w:r>
      <w:r w:rsidR="00426CB4" w:rsidRPr="00422C05">
        <w:rPr>
          <w:sz w:val="23"/>
          <w:szCs w:val="23"/>
        </w:rPr>
        <w:t>increase to 75%</w:t>
      </w:r>
      <w:r w:rsidR="003D2A30" w:rsidRPr="00422C05">
        <w:rPr>
          <w:sz w:val="23"/>
          <w:szCs w:val="23"/>
        </w:rPr>
        <w:t xml:space="preserve"> for retail</w:t>
      </w:r>
      <w:r w:rsidR="00584249" w:rsidRPr="00422C05">
        <w:rPr>
          <w:sz w:val="23"/>
          <w:szCs w:val="23"/>
        </w:rPr>
        <w:t>, hospitality</w:t>
      </w:r>
      <w:r w:rsidR="003E3146" w:rsidRPr="00422C05">
        <w:rPr>
          <w:sz w:val="23"/>
          <w:szCs w:val="23"/>
        </w:rPr>
        <w:t xml:space="preserve"> and leisure </w:t>
      </w:r>
      <w:r w:rsidR="003D2A30" w:rsidRPr="00422C05">
        <w:rPr>
          <w:sz w:val="23"/>
          <w:szCs w:val="23"/>
        </w:rPr>
        <w:t>properties. Further details on the eligibility for the scheme will be included in future guidance.</w:t>
      </w:r>
    </w:p>
    <w:p w14:paraId="1B3CF37C" w14:textId="0C559F30" w:rsidR="00F00773" w:rsidRPr="00422C05" w:rsidRDefault="00F00773" w:rsidP="003D2A30">
      <w:pPr>
        <w:ind w:left="720"/>
        <w:jc w:val="both"/>
        <w:rPr>
          <w:sz w:val="23"/>
          <w:szCs w:val="23"/>
        </w:rPr>
      </w:pPr>
    </w:p>
    <w:p w14:paraId="3D38FA6F" w14:textId="6B84D932" w:rsidR="001D4DF5" w:rsidRPr="00422C05" w:rsidRDefault="001976AE" w:rsidP="001976AE">
      <w:pPr>
        <w:ind w:left="720" w:hanging="720"/>
        <w:jc w:val="both"/>
        <w:rPr>
          <w:rFonts w:cs="Arial"/>
          <w:sz w:val="23"/>
          <w:szCs w:val="23"/>
        </w:rPr>
      </w:pPr>
      <w:r w:rsidRPr="00422C05">
        <w:rPr>
          <w:rFonts w:cs="Arial"/>
          <w:sz w:val="23"/>
          <w:szCs w:val="23"/>
        </w:rPr>
        <w:t>2.19</w:t>
      </w:r>
      <w:r w:rsidRPr="00422C05">
        <w:rPr>
          <w:rFonts w:cs="Arial"/>
          <w:sz w:val="23"/>
          <w:szCs w:val="23"/>
        </w:rPr>
        <w:tab/>
      </w:r>
      <w:r w:rsidR="005A48C8" w:rsidRPr="00422C05">
        <w:rPr>
          <w:rFonts w:cs="Arial"/>
          <w:sz w:val="23"/>
          <w:szCs w:val="23"/>
        </w:rPr>
        <w:t xml:space="preserve">With regards point </w:t>
      </w:r>
      <w:r w:rsidR="005656F9" w:rsidRPr="00422C05">
        <w:rPr>
          <w:rFonts w:cs="Arial"/>
          <w:sz w:val="23"/>
          <w:szCs w:val="23"/>
        </w:rPr>
        <w:t>2</w:t>
      </w:r>
      <w:r w:rsidR="005A48C8" w:rsidRPr="00422C05">
        <w:rPr>
          <w:rFonts w:cs="Arial"/>
          <w:sz w:val="23"/>
          <w:szCs w:val="23"/>
        </w:rPr>
        <w:t xml:space="preserve"> -</w:t>
      </w:r>
      <w:r w:rsidR="00F00773" w:rsidRPr="00422C05">
        <w:rPr>
          <w:rFonts w:cs="Arial"/>
          <w:sz w:val="23"/>
          <w:szCs w:val="23"/>
        </w:rPr>
        <w:t xml:space="preserve">The government will </w:t>
      </w:r>
      <w:r w:rsidR="0068167A" w:rsidRPr="00422C05">
        <w:rPr>
          <w:rFonts w:cs="Arial"/>
          <w:sz w:val="23"/>
          <w:szCs w:val="23"/>
        </w:rPr>
        <w:t>introduce a</w:t>
      </w:r>
      <w:r w:rsidR="009D0B78" w:rsidRPr="00422C05">
        <w:rPr>
          <w:rFonts w:cs="Arial"/>
          <w:sz w:val="23"/>
          <w:szCs w:val="23"/>
        </w:rPr>
        <w:t xml:space="preserve"> new</w:t>
      </w:r>
      <w:r w:rsidR="00F00773" w:rsidRPr="00422C05">
        <w:rPr>
          <w:rFonts w:cs="Arial"/>
          <w:sz w:val="23"/>
          <w:szCs w:val="23"/>
        </w:rPr>
        <w:t xml:space="preserve"> T</w:t>
      </w:r>
      <w:r w:rsidR="0068167A" w:rsidRPr="00422C05">
        <w:rPr>
          <w:rFonts w:cs="Arial"/>
          <w:sz w:val="23"/>
          <w:szCs w:val="23"/>
        </w:rPr>
        <w:t xml:space="preserve">ransitional Relief Scheme </w:t>
      </w:r>
      <w:r w:rsidR="00F00773" w:rsidRPr="00422C05">
        <w:rPr>
          <w:rFonts w:cs="Arial"/>
          <w:sz w:val="23"/>
          <w:szCs w:val="23"/>
        </w:rPr>
        <w:t>for small and medium businesses</w:t>
      </w:r>
      <w:r w:rsidR="007E0281" w:rsidRPr="00422C05">
        <w:rPr>
          <w:rFonts w:cs="Arial"/>
          <w:sz w:val="23"/>
          <w:szCs w:val="23"/>
        </w:rPr>
        <w:t xml:space="preserve">. </w:t>
      </w:r>
      <w:r w:rsidR="00BD01DC" w:rsidRPr="00422C05">
        <w:t xml:space="preserve"> </w:t>
      </w:r>
      <w:r w:rsidR="00555F4F" w:rsidRPr="00422C05">
        <w:t>This new</w:t>
      </w:r>
      <w:r w:rsidR="007E0281" w:rsidRPr="00422C05">
        <w:t xml:space="preserve"> </w:t>
      </w:r>
      <w:r w:rsidR="009D0B78" w:rsidRPr="00422C05">
        <w:t>T</w:t>
      </w:r>
      <w:r w:rsidR="007E0281" w:rsidRPr="00422C05">
        <w:t xml:space="preserve">ransitional </w:t>
      </w:r>
      <w:r w:rsidR="009D0B78" w:rsidRPr="00422C05">
        <w:t>R</w:t>
      </w:r>
      <w:r w:rsidR="007E0281" w:rsidRPr="00422C05">
        <w:t xml:space="preserve">elief schemes will be more targeted, only supporting ratepayers facing </w:t>
      </w:r>
      <w:r w:rsidR="00AA0B1E" w:rsidRPr="00422C05">
        <w:t xml:space="preserve">the </w:t>
      </w:r>
      <w:r w:rsidR="007E0281" w:rsidRPr="00422C05">
        <w:t>larges</w:t>
      </w:r>
      <w:r w:rsidR="00AA0B1E" w:rsidRPr="00422C05">
        <w:t>t</w:t>
      </w:r>
      <w:r w:rsidR="007E0281" w:rsidRPr="00422C05">
        <w:t xml:space="preserve"> bill increases</w:t>
      </w:r>
      <w:r w:rsidR="006E0FA0" w:rsidRPr="00422C05">
        <w:t xml:space="preserve">. Regulations </w:t>
      </w:r>
      <w:r w:rsidR="007E0281" w:rsidRPr="00422C05">
        <w:t xml:space="preserve">will be </w:t>
      </w:r>
      <w:r w:rsidR="006E0FA0" w:rsidRPr="00422C05">
        <w:t>issued</w:t>
      </w:r>
      <w:r w:rsidR="00555F4F" w:rsidRPr="00422C05">
        <w:t xml:space="preserve"> </w:t>
      </w:r>
      <w:r w:rsidR="007E0281" w:rsidRPr="00422C05">
        <w:t>in due course</w:t>
      </w:r>
      <w:r w:rsidR="00555F4F" w:rsidRPr="00422C05">
        <w:t>.</w:t>
      </w:r>
      <w:r w:rsidR="00AA0B1E" w:rsidRPr="00422C05">
        <w:t xml:space="preserve"> </w:t>
      </w:r>
      <w:r w:rsidR="00BD01DC" w:rsidRPr="00422C05">
        <w:rPr>
          <w:rFonts w:cs="Arial"/>
          <w:sz w:val="23"/>
          <w:szCs w:val="23"/>
        </w:rPr>
        <w:t>The caps on increases</w:t>
      </w:r>
      <w:r w:rsidR="00025D7B" w:rsidRPr="00422C05">
        <w:rPr>
          <w:rFonts w:cs="Arial"/>
          <w:sz w:val="23"/>
          <w:szCs w:val="23"/>
        </w:rPr>
        <w:t>, which will restrict increases</w:t>
      </w:r>
      <w:r w:rsidR="00BD01DC" w:rsidRPr="00422C05">
        <w:rPr>
          <w:rFonts w:cs="Arial"/>
          <w:sz w:val="23"/>
          <w:szCs w:val="23"/>
        </w:rPr>
        <w:t xml:space="preserve"> for 2023-24</w:t>
      </w:r>
      <w:r w:rsidR="00CC03A8" w:rsidRPr="00422C05">
        <w:rPr>
          <w:rFonts w:cs="Arial"/>
          <w:sz w:val="23"/>
          <w:szCs w:val="23"/>
        </w:rPr>
        <w:t>,</w:t>
      </w:r>
      <w:r w:rsidR="00BD01DC" w:rsidRPr="00422C05">
        <w:rPr>
          <w:rFonts w:cs="Arial"/>
          <w:sz w:val="23"/>
          <w:szCs w:val="23"/>
        </w:rPr>
        <w:t xml:space="preserve"> are</w:t>
      </w:r>
      <w:r w:rsidR="00CC03A8" w:rsidRPr="00422C05">
        <w:rPr>
          <w:rFonts w:cs="Arial"/>
          <w:sz w:val="23"/>
          <w:szCs w:val="23"/>
        </w:rPr>
        <w:t xml:space="preserve"> </w:t>
      </w:r>
      <w:r w:rsidR="00C10883" w:rsidRPr="00422C05">
        <w:rPr>
          <w:rFonts w:cs="Arial"/>
          <w:sz w:val="23"/>
          <w:szCs w:val="23"/>
        </w:rPr>
        <w:t>- 5</w:t>
      </w:r>
      <w:r w:rsidR="00BD01DC" w:rsidRPr="00422C05">
        <w:rPr>
          <w:rFonts w:cs="Arial"/>
          <w:sz w:val="23"/>
          <w:szCs w:val="23"/>
        </w:rPr>
        <w:t>% for small premises (up to £28k RV in London), 15% for medium premises (£28,001 to £100k RV) and 30% for larger premises (over £100k RV).</w:t>
      </w:r>
    </w:p>
    <w:p w14:paraId="7A0CFAA1" w14:textId="77777777" w:rsidR="001D4DF5" w:rsidRPr="00422C05" w:rsidRDefault="001D4DF5" w:rsidP="001976AE">
      <w:pPr>
        <w:ind w:left="720" w:hanging="720"/>
        <w:jc w:val="both"/>
        <w:rPr>
          <w:rFonts w:cs="Arial"/>
          <w:sz w:val="23"/>
          <w:szCs w:val="23"/>
        </w:rPr>
      </w:pPr>
    </w:p>
    <w:p w14:paraId="41E4EB01" w14:textId="69C15567" w:rsidR="00A147A3" w:rsidRPr="00422C05" w:rsidRDefault="00A147A3" w:rsidP="001976AE">
      <w:pPr>
        <w:ind w:left="720" w:hanging="720"/>
        <w:jc w:val="both"/>
        <w:rPr>
          <w:rFonts w:cs="Arial"/>
          <w:sz w:val="23"/>
          <w:szCs w:val="23"/>
        </w:rPr>
      </w:pPr>
      <w:r w:rsidRPr="00422C05">
        <w:rPr>
          <w:rFonts w:cs="Arial"/>
          <w:sz w:val="23"/>
          <w:szCs w:val="23"/>
        </w:rPr>
        <w:t>2.20</w:t>
      </w:r>
      <w:r w:rsidRPr="00422C05">
        <w:rPr>
          <w:rFonts w:cs="Arial"/>
          <w:sz w:val="23"/>
          <w:szCs w:val="23"/>
        </w:rPr>
        <w:tab/>
        <w:t xml:space="preserve">With regards point </w:t>
      </w:r>
      <w:r w:rsidR="00A164AE" w:rsidRPr="00422C05">
        <w:rPr>
          <w:rFonts w:cs="Arial"/>
          <w:sz w:val="23"/>
          <w:szCs w:val="23"/>
        </w:rPr>
        <w:t>3</w:t>
      </w:r>
      <w:r w:rsidRPr="00422C05">
        <w:rPr>
          <w:rFonts w:cs="Arial"/>
          <w:sz w:val="23"/>
          <w:szCs w:val="23"/>
        </w:rPr>
        <w:t xml:space="preserve"> </w:t>
      </w:r>
      <w:r w:rsidR="00B90886" w:rsidRPr="00422C05">
        <w:rPr>
          <w:rFonts w:cs="Arial"/>
          <w:sz w:val="23"/>
          <w:szCs w:val="23"/>
        </w:rPr>
        <w:t>–</w:t>
      </w:r>
      <w:r w:rsidR="00164902" w:rsidRPr="00422C05">
        <w:t xml:space="preserve"> </w:t>
      </w:r>
      <w:r w:rsidR="00164902" w:rsidRPr="00422C05">
        <w:rPr>
          <w:rFonts w:cs="Arial"/>
          <w:sz w:val="23"/>
          <w:szCs w:val="23"/>
        </w:rPr>
        <w:t xml:space="preserve">Supporting Small Business Scheme (SSBS) - Bill increases for the smallest businesses losing eligibility or seeing reductions in SBRR or Rural Rate Relief (RRR) will be capped at £600 per year from 1 April 2023. </w:t>
      </w:r>
      <w:r w:rsidR="00371179" w:rsidRPr="00422C05">
        <w:t xml:space="preserve"> </w:t>
      </w:r>
      <w:r w:rsidR="00376D7C" w:rsidRPr="00422C05">
        <w:t xml:space="preserve">This means no small business losing eligibility for SBRR or RRR will see a bill increase of more than £50 per month in 2023-24. </w:t>
      </w:r>
      <w:r w:rsidR="00371179" w:rsidRPr="00422C05">
        <w:rPr>
          <w:rFonts w:cs="Arial"/>
          <w:sz w:val="23"/>
          <w:szCs w:val="23"/>
        </w:rPr>
        <w:t>Further details on the eligibility for the scheme will be included in future guidance.</w:t>
      </w:r>
      <w:r w:rsidR="00490DD1">
        <w:rPr>
          <w:rFonts w:cs="Arial"/>
          <w:sz w:val="23"/>
          <w:szCs w:val="23"/>
        </w:rPr>
        <w:t xml:space="preserve"> The scheme will operate up to </w:t>
      </w:r>
      <w:r w:rsidR="0075478E">
        <w:rPr>
          <w:rFonts w:cs="Arial"/>
          <w:sz w:val="23"/>
          <w:szCs w:val="23"/>
        </w:rPr>
        <w:t>five further years beyond 2023/24 financial year.</w:t>
      </w:r>
    </w:p>
    <w:p w14:paraId="791697B3" w14:textId="77777777" w:rsidR="003D2A30" w:rsidRPr="00422C05" w:rsidRDefault="003D2A30" w:rsidP="003D2A30">
      <w:pPr>
        <w:pStyle w:val="Default"/>
        <w:ind w:left="720"/>
        <w:rPr>
          <w:color w:val="auto"/>
          <w:sz w:val="23"/>
          <w:szCs w:val="23"/>
        </w:rPr>
      </w:pPr>
    </w:p>
    <w:p w14:paraId="3A0A20CD" w14:textId="700862B2" w:rsidR="00523918" w:rsidRPr="00422C05" w:rsidRDefault="001976AE" w:rsidP="001976AE">
      <w:pPr>
        <w:ind w:left="720" w:hanging="720"/>
        <w:jc w:val="both"/>
        <w:rPr>
          <w:sz w:val="23"/>
          <w:szCs w:val="23"/>
        </w:rPr>
      </w:pPr>
      <w:r w:rsidRPr="00422C05">
        <w:rPr>
          <w:sz w:val="23"/>
          <w:szCs w:val="23"/>
        </w:rPr>
        <w:t>2.2</w:t>
      </w:r>
      <w:r w:rsidR="006316A9" w:rsidRPr="00422C05">
        <w:rPr>
          <w:sz w:val="23"/>
          <w:szCs w:val="23"/>
        </w:rPr>
        <w:t>1</w:t>
      </w:r>
      <w:r w:rsidRPr="00422C05">
        <w:rPr>
          <w:sz w:val="23"/>
          <w:szCs w:val="23"/>
        </w:rPr>
        <w:tab/>
      </w:r>
      <w:r w:rsidR="006A58C4" w:rsidRPr="00422C05">
        <w:rPr>
          <w:sz w:val="23"/>
          <w:szCs w:val="23"/>
        </w:rPr>
        <w:t>Harrow Council</w:t>
      </w:r>
      <w:r w:rsidR="00523918" w:rsidRPr="00422C05">
        <w:rPr>
          <w:sz w:val="23"/>
          <w:szCs w:val="23"/>
        </w:rPr>
        <w:t xml:space="preserve"> will be expected to use </w:t>
      </w:r>
      <w:r w:rsidR="006A58C4" w:rsidRPr="00422C05">
        <w:rPr>
          <w:sz w:val="23"/>
          <w:szCs w:val="23"/>
        </w:rPr>
        <w:t>its</w:t>
      </w:r>
      <w:r w:rsidR="00523918" w:rsidRPr="00422C05">
        <w:rPr>
          <w:sz w:val="23"/>
          <w:szCs w:val="23"/>
        </w:rPr>
        <w:t xml:space="preserve"> discretionary relief powers (under section 47 of the Local Government Finance Act 1988 as amended) to grant the discount</w:t>
      </w:r>
      <w:r w:rsidR="008E04B5" w:rsidRPr="00422C05">
        <w:rPr>
          <w:sz w:val="23"/>
          <w:szCs w:val="23"/>
        </w:rPr>
        <w:t>s</w:t>
      </w:r>
      <w:r w:rsidR="00AC047A" w:rsidRPr="00422C05">
        <w:rPr>
          <w:sz w:val="23"/>
          <w:szCs w:val="23"/>
        </w:rPr>
        <w:t xml:space="preserve"> set out in points 1</w:t>
      </w:r>
      <w:r w:rsidR="00E9170A" w:rsidRPr="00422C05">
        <w:rPr>
          <w:sz w:val="23"/>
          <w:szCs w:val="23"/>
        </w:rPr>
        <w:t>, 2</w:t>
      </w:r>
      <w:r w:rsidR="00AC047A" w:rsidRPr="00422C05">
        <w:rPr>
          <w:sz w:val="23"/>
          <w:szCs w:val="23"/>
        </w:rPr>
        <w:t xml:space="preserve"> &amp; </w:t>
      </w:r>
      <w:r w:rsidR="00E9170A" w:rsidRPr="00422C05">
        <w:rPr>
          <w:sz w:val="23"/>
          <w:szCs w:val="23"/>
        </w:rPr>
        <w:t>4</w:t>
      </w:r>
      <w:r w:rsidR="00AC047A" w:rsidRPr="00422C05">
        <w:rPr>
          <w:sz w:val="23"/>
          <w:szCs w:val="23"/>
        </w:rPr>
        <w:t xml:space="preserve"> above,</w:t>
      </w:r>
      <w:r w:rsidR="00523918" w:rsidRPr="00422C05">
        <w:rPr>
          <w:sz w:val="23"/>
          <w:szCs w:val="23"/>
        </w:rPr>
        <w:t xml:space="preserve"> in line with the relevant eligibility criteria. No new legislation will be required to deliver the scheme</w:t>
      </w:r>
      <w:r w:rsidR="003D2A30" w:rsidRPr="00422C05">
        <w:rPr>
          <w:sz w:val="23"/>
          <w:szCs w:val="23"/>
        </w:rPr>
        <w:t>.</w:t>
      </w:r>
    </w:p>
    <w:p w14:paraId="44388443" w14:textId="77777777" w:rsidR="00D3180D" w:rsidRPr="00422C05" w:rsidRDefault="00D3180D" w:rsidP="003D2A30">
      <w:pPr>
        <w:pStyle w:val="ListParagraph"/>
        <w:jc w:val="both"/>
        <w:rPr>
          <w:sz w:val="23"/>
          <w:szCs w:val="23"/>
        </w:rPr>
      </w:pPr>
    </w:p>
    <w:p w14:paraId="6AA74B2B" w14:textId="36ED6647" w:rsidR="00E33182" w:rsidRPr="00422C05" w:rsidRDefault="006B4357" w:rsidP="006B4357">
      <w:pPr>
        <w:ind w:left="720" w:hanging="720"/>
        <w:jc w:val="both"/>
        <w:rPr>
          <w:rFonts w:cs="Arial"/>
          <w:sz w:val="23"/>
          <w:szCs w:val="23"/>
        </w:rPr>
      </w:pPr>
      <w:r w:rsidRPr="00422C05">
        <w:rPr>
          <w:rFonts w:cs="Arial"/>
          <w:sz w:val="23"/>
          <w:szCs w:val="23"/>
        </w:rPr>
        <w:t>2.</w:t>
      </w:r>
      <w:r w:rsidR="001976AE" w:rsidRPr="00422C05">
        <w:rPr>
          <w:rFonts w:cs="Arial"/>
          <w:sz w:val="23"/>
          <w:szCs w:val="23"/>
        </w:rPr>
        <w:t>2</w:t>
      </w:r>
      <w:r w:rsidR="006316A9" w:rsidRPr="00422C05">
        <w:rPr>
          <w:rFonts w:cs="Arial"/>
          <w:sz w:val="23"/>
          <w:szCs w:val="23"/>
        </w:rPr>
        <w:t>2</w:t>
      </w:r>
      <w:r w:rsidRPr="00422C05">
        <w:rPr>
          <w:rFonts w:cs="Arial"/>
          <w:sz w:val="23"/>
          <w:szCs w:val="23"/>
        </w:rPr>
        <w:tab/>
      </w:r>
      <w:r w:rsidR="008A2A9A" w:rsidRPr="00422C05">
        <w:rPr>
          <w:rFonts w:cs="Arial"/>
          <w:sz w:val="23"/>
          <w:szCs w:val="23"/>
        </w:rPr>
        <w:t xml:space="preserve">Cabinet is therefore requested to </w:t>
      </w:r>
      <w:r w:rsidR="00A21A8F" w:rsidRPr="00422C05">
        <w:rPr>
          <w:rFonts w:cs="Arial"/>
          <w:sz w:val="23"/>
          <w:szCs w:val="23"/>
        </w:rPr>
        <w:t>authorise</w:t>
      </w:r>
      <w:r w:rsidR="008A2A9A" w:rsidRPr="00422C05">
        <w:rPr>
          <w:rFonts w:cs="Arial"/>
          <w:sz w:val="23"/>
          <w:szCs w:val="23"/>
        </w:rPr>
        <w:t xml:space="preserve"> </w:t>
      </w:r>
      <w:r w:rsidR="00034B8B" w:rsidRPr="00422C05">
        <w:rPr>
          <w:rFonts w:cs="Arial"/>
          <w:sz w:val="23"/>
          <w:szCs w:val="23"/>
        </w:rPr>
        <w:t>the Director of Finance</w:t>
      </w:r>
      <w:r w:rsidR="008A2A9A" w:rsidRPr="00422C05">
        <w:rPr>
          <w:rFonts w:cs="Arial"/>
          <w:sz w:val="23"/>
          <w:szCs w:val="23"/>
        </w:rPr>
        <w:t xml:space="preserve"> to implement </w:t>
      </w:r>
      <w:r w:rsidR="006C6496" w:rsidRPr="00422C05">
        <w:rPr>
          <w:rFonts w:cs="Arial"/>
          <w:sz w:val="23"/>
          <w:szCs w:val="23"/>
        </w:rPr>
        <w:t xml:space="preserve">the prescribed support for businesses, once </w:t>
      </w:r>
      <w:r w:rsidR="00780415" w:rsidRPr="00422C05">
        <w:rPr>
          <w:rFonts w:cs="Arial"/>
          <w:sz w:val="23"/>
          <w:szCs w:val="23"/>
        </w:rPr>
        <w:t>guidance is issued</w:t>
      </w:r>
      <w:r w:rsidR="00E67AF3" w:rsidRPr="00422C05">
        <w:rPr>
          <w:rFonts w:cs="Arial"/>
          <w:sz w:val="23"/>
          <w:szCs w:val="23"/>
        </w:rPr>
        <w:t>, including</w:t>
      </w:r>
      <w:r w:rsidR="00B66C4F" w:rsidRPr="00422C05">
        <w:rPr>
          <w:rFonts w:cs="Arial"/>
          <w:sz w:val="23"/>
          <w:szCs w:val="23"/>
        </w:rPr>
        <w:t xml:space="preserve"> </w:t>
      </w:r>
      <w:r w:rsidR="00607458" w:rsidRPr="00422C05">
        <w:rPr>
          <w:rFonts w:cs="Arial"/>
          <w:sz w:val="23"/>
          <w:szCs w:val="23"/>
        </w:rPr>
        <w:t xml:space="preserve">the writing of policies, </w:t>
      </w:r>
      <w:r w:rsidR="00B66C4F" w:rsidRPr="00422C05">
        <w:rPr>
          <w:rFonts w:cs="Arial"/>
          <w:sz w:val="23"/>
          <w:szCs w:val="23"/>
        </w:rPr>
        <w:t>making changes to the</w:t>
      </w:r>
      <w:r w:rsidR="00A559AA" w:rsidRPr="00422C05">
        <w:rPr>
          <w:rFonts w:cs="Arial"/>
          <w:sz w:val="23"/>
          <w:szCs w:val="23"/>
        </w:rPr>
        <w:t xml:space="preserve"> now defunc</w:t>
      </w:r>
      <w:r w:rsidR="000975A0" w:rsidRPr="00422C05">
        <w:rPr>
          <w:rFonts w:cs="Arial"/>
          <w:sz w:val="23"/>
          <w:szCs w:val="23"/>
        </w:rPr>
        <w:t xml:space="preserve">t </w:t>
      </w:r>
      <w:r w:rsidR="00A559AA" w:rsidRPr="00422C05">
        <w:rPr>
          <w:rFonts w:cs="Arial"/>
          <w:sz w:val="23"/>
          <w:szCs w:val="23"/>
        </w:rPr>
        <w:t xml:space="preserve">Discretionary Business Rates Retail Relief Scheme </w:t>
      </w:r>
      <w:r w:rsidR="00B6239D" w:rsidRPr="00422C05">
        <w:rPr>
          <w:rFonts w:cs="Arial"/>
          <w:sz w:val="23"/>
          <w:szCs w:val="23"/>
        </w:rPr>
        <w:t>(</w:t>
      </w:r>
      <w:r w:rsidR="00A559AA" w:rsidRPr="00422C05">
        <w:rPr>
          <w:rFonts w:cs="Arial"/>
          <w:sz w:val="23"/>
          <w:szCs w:val="23"/>
        </w:rPr>
        <w:t>which operated for 2019/20</w:t>
      </w:r>
      <w:r w:rsidR="00B81030" w:rsidRPr="00422C05">
        <w:rPr>
          <w:rFonts w:cs="Arial"/>
          <w:sz w:val="23"/>
          <w:szCs w:val="23"/>
        </w:rPr>
        <w:t>, 2020/21</w:t>
      </w:r>
      <w:r w:rsidR="00A559AA" w:rsidRPr="00422C05">
        <w:rPr>
          <w:rFonts w:cs="Arial"/>
          <w:sz w:val="23"/>
          <w:szCs w:val="23"/>
        </w:rPr>
        <w:t xml:space="preserve"> &amp; 202</w:t>
      </w:r>
      <w:r w:rsidR="00B81030" w:rsidRPr="00422C05">
        <w:rPr>
          <w:rFonts w:cs="Arial"/>
          <w:sz w:val="23"/>
          <w:szCs w:val="23"/>
        </w:rPr>
        <w:t>1</w:t>
      </w:r>
      <w:r w:rsidR="00A559AA" w:rsidRPr="00422C05">
        <w:rPr>
          <w:rFonts w:cs="Arial"/>
          <w:sz w:val="23"/>
          <w:szCs w:val="23"/>
        </w:rPr>
        <w:t>/2</w:t>
      </w:r>
      <w:r w:rsidR="00B81030" w:rsidRPr="00422C05">
        <w:rPr>
          <w:rFonts w:cs="Arial"/>
          <w:sz w:val="23"/>
          <w:szCs w:val="23"/>
        </w:rPr>
        <w:t>2</w:t>
      </w:r>
      <w:r w:rsidR="00B6239D" w:rsidRPr="00422C05">
        <w:rPr>
          <w:rFonts w:cs="Arial"/>
          <w:sz w:val="23"/>
          <w:szCs w:val="23"/>
        </w:rPr>
        <w:t>)</w:t>
      </w:r>
      <w:r w:rsidR="00B6109C" w:rsidRPr="00422C05">
        <w:rPr>
          <w:rFonts w:cs="Arial"/>
          <w:sz w:val="23"/>
          <w:szCs w:val="23"/>
        </w:rPr>
        <w:t xml:space="preserve">, as well as implementing </w:t>
      </w:r>
      <w:r w:rsidR="00955623" w:rsidRPr="00422C05">
        <w:rPr>
          <w:rFonts w:cs="Arial"/>
          <w:sz w:val="23"/>
          <w:szCs w:val="23"/>
        </w:rPr>
        <w:t xml:space="preserve">a </w:t>
      </w:r>
      <w:r w:rsidR="00C10883" w:rsidRPr="00422C05">
        <w:rPr>
          <w:rFonts w:cs="Arial"/>
          <w:sz w:val="23"/>
          <w:szCs w:val="23"/>
        </w:rPr>
        <w:t>TR scheme</w:t>
      </w:r>
      <w:r w:rsidR="00955623" w:rsidRPr="00422C05">
        <w:rPr>
          <w:rFonts w:cs="Arial"/>
          <w:sz w:val="23"/>
          <w:szCs w:val="23"/>
        </w:rPr>
        <w:t xml:space="preserve"> </w:t>
      </w:r>
      <w:r w:rsidR="00DC22B8" w:rsidRPr="00422C05">
        <w:rPr>
          <w:rFonts w:cs="Arial"/>
          <w:sz w:val="23"/>
          <w:szCs w:val="23"/>
        </w:rPr>
        <w:t>for small and medium businesses</w:t>
      </w:r>
      <w:r w:rsidR="00ED7CE0" w:rsidRPr="00422C05">
        <w:rPr>
          <w:rFonts w:cs="Arial"/>
          <w:sz w:val="23"/>
          <w:szCs w:val="23"/>
        </w:rPr>
        <w:t xml:space="preserve"> and</w:t>
      </w:r>
      <w:r w:rsidR="00DC22B8" w:rsidRPr="00422C05">
        <w:rPr>
          <w:rFonts w:cs="Arial"/>
          <w:sz w:val="23"/>
          <w:szCs w:val="23"/>
        </w:rPr>
        <w:t xml:space="preserve"> the SSB</w:t>
      </w:r>
      <w:r w:rsidR="00ED7CE0" w:rsidRPr="00422C05">
        <w:rPr>
          <w:rFonts w:cs="Arial"/>
          <w:sz w:val="23"/>
          <w:szCs w:val="23"/>
        </w:rPr>
        <w:t>S</w:t>
      </w:r>
      <w:r w:rsidR="00DC22B8" w:rsidRPr="00422C05">
        <w:rPr>
          <w:rFonts w:cs="Arial"/>
          <w:sz w:val="23"/>
          <w:szCs w:val="23"/>
        </w:rPr>
        <w:t xml:space="preserve"> scheme</w:t>
      </w:r>
      <w:r w:rsidR="00011FAB" w:rsidRPr="00422C05">
        <w:rPr>
          <w:rFonts w:cs="Arial"/>
          <w:sz w:val="23"/>
          <w:szCs w:val="23"/>
        </w:rPr>
        <w:t xml:space="preserve"> in line with </w:t>
      </w:r>
      <w:r w:rsidR="006D557F" w:rsidRPr="00422C05">
        <w:rPr>
          <w:rFonts w:cs="Arial"/>
          <w:sz w:val="23"/>
          <w:szCs w:val="23"/>
        </w:rPr>
        <w:t>guidance issued or to be issued in the future</w:t>
      </w:r>
      <w:r w:rsidR="00011FAB" w:rsidRPr="00422C05">
        <w:rPr>
          <w:rFonts w:cs="Arial"/>
          <w:sz w:val="23"/>
          <w:szCs w:val="23"/>
        </w:rPr>
        <w:t>.</w:t>
      </w:r>
    </w:p>
    <w:p w14:paraId="5E362F2E" w14:textId="313D388C" w:rsidR="00A02BDA" w:rsidRPr="00AD6AF3" w:rsidRDefault="00A02BDA" w:rsidP="008020C1">
      <w:pPr>
        <w:ind w:left="720"/>
        <w:jc w:val="both"/>
        <w:rPr>
          <w:rFonts w:cs="Arial"/>
          <w:sz w:val="23"/>
          <w:szCs w:val="23"/>
        </w:rPr>
      </w:pPr>
    </w:p>
    <w:p w14:paraId="2825D078" w14:textId="569EF667" w:rsidR="00A93C4F" w:rsidRDefault="001976AE" w:rsidP="00B26E17">
      <w:pPr>
        <w:ind w:left="720" w:hanging="720"/>
        <w:jc w:val="both"/>
        <w:rPr>
          <w:bCs/>
          <w:sz w:val="23"/>
          <w:szCs w:val="23"/>
        </w:rPr>
      </w:pPr>
      <w:r w:rsidRPr="00AD6AF3">
        <w:rPr>
          <w:bCs/>
          <w:sz w:val="23"/>
          <w:szCs w:val="23"/>
        </w:rPr>
        <w:t>2.2</w:t>
      </w:r>
      <w:r w:rsidR="006316A9" w:rsidRPr="00AD6AF3">
        <w:rPr>
          <w:bCs/>
          <w:sz w:val="23"/>
          <w:szCs w:val="23"/>
        </w:rPr>
        <w:t>3</w:t>
      </w:r>
      <w:r w:rsidRPr="00AD6AF3">
        <w:rPr>
          <w:bCs/>
          <w:sz w:val="23"/>
          <w:szCs w:val="23"/>
        </w:rPr>
        <w:tab/>
      </w:r>
      <w:r w:rsidR="0092758E" w:rsidRPr="00AD6AF3">
        <w:rPr>
          <w:bCs/>
          <w:sz w:val="23"/>
          <w:szCs w:val="23"/>
        </w:rPr>
        <w:t>Central government will fully reimburse Harrow for the local share of the</w:t>
      </w:r>
      <w:r w:rsidR="00C3749E" w:rsidRPr="00AD6AF3">
        <w:rPr>
          <w:bCs/>
          <w:sz w:val="23"/>
          <w:szCs w:val="23"/>
        </w:rPr>
        <w:t xml:space="preserve"> </w:t>
      </w:r>
      <w:r w:rsidR="0092758E" w:rsidRPr="00AD6AF3">
        <w:rPr>
          <w:bCs/>
          <w:sz w:val="23"/>
          <w:szCs w:val="23"/>
        </w:rPr>
        <w:t>discretionary relief (using a grant under section 31 of the Local Government Act 2003). The Government expects local government to grant relief to qualifying ratepayers.</w:t>
      </w:r>
    </w:p>
    <w:p w14:paraId="2B5FC395" w14:textId="77777777" w:rsidR="00BF56CF" w:rsidRPr="00AD6AF3" w:rsidRDefault="00BF56CF" w:rsidP="00B26E17">
      <w:pPr>
        <w:ind w:left="720" w:hanging="720"/>
        <w:jc w:val="both"/>
        <w:rPr>
          <w:bCs/>
          <w:sz w:val="23"/>
          <w:szCs w:val="23"/>
        </w:rPr>
      </w:pPr>
    </w:p>
    <w:p w14:paraId="00DE82E2" w14:textId="63A8A32C" w:rsidR="00D02084" w:rsidRPr="00A93C4F" w:rsidRDefault="00D02084" w:rsidP="00D02084">
      <w:pPr>
        <w:ind w:firstLine="561"/>
        <w:jc w:val="both"/>
        <w:rPr>
          <w:b/>
          <w:sz w:val="28"/>
          <w:szCs w:val="28"/>
        </w:rPr>
      </w:pPr>
      <w:r w:rsidRPr="00A93C4F">
        <w:rPr>
          <w:b/>
          <w:sz w:val="28"/>
          <w:szCs w:val="28"/>
        </w:rPr>
        <w:t>Legal Implications</w:t>
      </w:r>
    </w:p>
    <w:p w14:paraId="2450A24B" w14:textId="5E2A4BD6" w:rsidR="00D02084" w:rsidRPr="00A93C4F" w:rsidRDefault="00422C05" w:rsidP="00422C05">
      <w:pPr>
        <w:ind w:left="561" w:hanging="561"/>
        <w:jc w:val="both"/>
        <w:rPr>
          <w:rFonts w:cs="Arial"/>
        </w:rPr>
      </w:pPr>
      <w:r>
        <w:rPr>
          <w:rFonts w:cs="Arial"/>
        </w:rPr>
        <w:tab/>
      </w:r>
      <w:r w:rsidR="00D02084" w:rsidRPr="00A93C4F">
        <w:rPr>
          <w:rFonts w:cs="Arial"/>
        </w:rPr>
        <w:t>Schedule 7B of the Local Government Finance Act 1988, as amended, reserves the right for the Secretary of State to direct billing authorities to make calculations and supply information and in the absence of such a direction, to make regulations imposing similar requirement. For the year commencing on 1</w:t>
      </w:r>
      <w:r w:rsidR="00D02084" w:rsidRPr="00A93C4F">
        <w:rPr>
          <w:rFonts w:cs="Arial"/>
          <w:vertAlign w:val="superscript"/>
        </w:rPr>
        <w:t>st</w:t>
      </w:r>
      <w:r w:rsidR="00D02084" w:rsidRPr="00A93C4F">
        <w:rPr>
          <w:rFonts w:cs="Arial"/>
        </w:rPr>
        <w:t xml:space="preserve"> April 202</w:t>
      </w:r>
      <w:r w:rsidR="00716F19">
        <w:rPr>
          <w:rFonts w:cs="Arial"/>
        </w:rPr>
        <w:t>3</w:t>
      </w:r>
      <w:r w:rsidR="00D02084" w:rsidRPr="00A93C4F">
        <w:rPr>
          <w:rFonts w:cs="Arial"/>
        </w:rPr>
        <w:t xml:space="preserve">, regulations require that on or before 31 January in the preceding year, billing authorities must estimate the amount </w:t>
      </w:r>
      <w:r w:rsidR="00D02084" w:rsidRPr="00A93C4F">
        <w:rPr>
          <w:rFonts w:cs="Arial"/>
        </w:rPr>
        <w:lastRenderedPageBreak/>
        <w:t>of NDR income, calculate the amount of the central share, calculate the amount for each precepting authority’s share, estimate the amount of qualifying relief and notify the Secretary of State and relevant precepting authority of these estimates or calculations. This will be done via a form known as NNDR1. The Government has set out the process for this in the Non-Domestic Rating (Rates Retention) Regulations 2013. A delegation is also included to enable the Council's Chief Finance Officer (section 151 officer) to fulfil the notification requirements described above.</w:t>
      </w:r>
    </w:p>
    <w:p w14:paraId="446EE3D3" w14:textId="77777777" w:rsidR="00D02084" w:rsidRPr="00A93C4F" w:rsidRDefault="00D02084" w:rsidP="00D02084">
      <w:pPr>
        <w:ind w:left="561" w:hanging="561"/>
        <w:jc w:val="both"/>
        <w:rPr>
          <w:rFonts w:cs="Arial"/>
        </w:rPr>
      </w:pPr>
    </w:p>
    <w:p w14:paraId="6D26E18D" w14:textId="07C1D041" w:rsidR="00D02084" w:rsidRDefault="00D02084" w:rsidP="00D02084">
      <w:pPr>
        <w:ind w:left="567" w:hanging="567"/>
        <w:jc w:val="both"/>
        <w:rPr>
          <w:lang w:val="en" w:eastAsia="en-GB"/>
        </w:rPr>
      </w:pPr>
      <w:r w:rsidRPr="00A93C4F">
        <w:rPr>
          <w:rFonts w:cs="Arial"/>
        </w:rPr>
        <w:tab/>
      </w:r>
      <w:r w:rsidRPr="00A93C4F">
        <w:rPr>
          <w:lang w:val="en" w:eastAsia="en-GB"/>
        </w:rPr>
        <w:t xml:space="preserve">At present the regulations and legislation do not appear to require decisions to be taken at a particular level within the </w:t>
      </w:r>
      <w:r>
        <w:rPr>
          <w:lang w:val="en" w:eastAsia="en-GB"/>
        </w:rPr>
        <w:t>C</w:t>
      </w:r>
      <w:r w:rsidRPr="00A93C4F">
        <w:rPr>
          <w:lang w:val="en" w:eastAsia="en-GB"/>
        </w:rPr>
        <w:t xml:space="preserve">ouncil.  In the absence of any specific statutory requirement as to decision making, it is necessary to take account of the Functions and Responsibilities Regulations 2000 which set out decisions which can and cannot be taken by the Executive.  </w:t>
      </w:r>
    </w:p>
    <w:p w14:paraId="315EFA6C" w14:textId="23B9CC8A" w:rsidR="00AB1E78" w:rsidRDefault="00AB1E78" w:rsidP="00D02084">
      <w:pPr>
        <w:ind w:left="567" w:hanging="567"/>
        <w:jc w:val="both"/>
        <w:rPr>
          <w:lang w:val="en" w:eastAsia="en-GB"/>
        </w:rPr>
      </w:pPr>
    </w:p>
    <w:p w14:paraId="5568F7E2" w14:textId="5D284E89" w:rsidR="00AB1E78" w:rsidRPr="00A93C4F" w:rsidRDefault="001528BB" w:rsidP="001528BB">
      <w:pPr>
        <w:ind w:left="567" w:hanging="567"/>
        <w:jc w:val="both"/>
        <w:rPr>
          <w:lang w:val="en" w:eastAsia="en-GB"/>
        </w:rPr>
      </w:pPr>
      <w:r>
        <w:rPr>
          <w:lang w:val="en" w:eastAsia="en-GB"/>
        </w:rPr>
        <w:tab/>
      </w:r>
      <w:r w:rsidRPr="001528BB">
        <w:rPr>
          <w:lang w:val="en" w:eastAsia="en-GB"/>
        </w:rPr>
        <w:t xml:space="preserve">Under the Council's constitution, approving the budget (including setting the Council Tax) is reserved to full Council. Budget is defined as allocation of financial resources to different services and projects, proposed contingency funds, setting the council tax including decisions relating to the control of the Council's borrowing requirement, the determination and control of its capital </w:t>
      </w:r>
      <w:r w:rsidR="00C10883" w:rsidRPr="001528BB">
        <w:rPr>
          <w:lang w:val="en" w:eastAsia="en-GB"/>
        </w:rPr>
        <w:t>expenditure and</w:t>
      </w:r>
      <w:r w:rsidRPr="001528BB">
        <w:rPr>
          <w:lang w:val="en" w:eastAsia="en-GB"/>
        </w:rPr>
        <w:t xml:space="preserve"> the setting of virement limits. Calculating the business rates estimates is not part of this overall budget approval, although the estimate used will be taken into account when considering the Council's financial position.  It is appropriate for this decision to be taken by Cabinet in the same way as the council tax base is a Cabinet decision.</w:t>
      </w:r>
    </w:p>
    <w:p w14:paraId="07A7DE81" w14:textId="77777777" w:rsidR="00D02084" w:rsidRPr="00A93C4F" w:rsidRDefault="00D02084" w:rsidP="00D02084">
      <w:pPr>
        <w:ind w:left="567" w:hanging="567"/>
        <w:jc w:val="both"/>
        <w:rPr>
          <w:lang w:val="en" w:eastAsia="en-GB"/>
        </w:rPr>
      </w:pPr>
    </w:p>
    <w:p w14:paraId="155D0BEF" w14:textId="4D08A7F3" w:rsidR="00D02084" w:rsidRDefault="00D02084" w:rsidP="001528BB">
      <w:pPr>
        <w:ind w:left="567" w:hanging="567"/>
        <w:jc w:val="both"/>
        <w:rPr>
          <w:rFonts w:cs="Arial"/>
          <w:color w:val="000000"/>
          <w:szCs w:val="24"/>
          <w:lang w:val="en" w:eastAsia="en-GB"/>
        </w:rPr>
      </w:pPr>
      <w:r w:rsidRPr="00A93C4F">
        <w:rPr>
          <w:lang w:val="en" w:eastAsia="en-GB"/>
        </w:rPr>
        <w:tab/>
      </w:r>
      <w:r w:rsidRPr="00A93C4F">
        <w:rPr>
          <w:rFonts w:cs="Arial"/>
          <w:color w:val="000000"/>
          <w:szCs w:val="24"/>
          <w:lang w:val="en" w:eastAsia="en-GB"/>
        </w:rPr>
        <w:t xml:space="preserve">Article </w:t>
      </w:r>
      <w:r w:rsidR="00A40C74">
        <w:rPr>
          <w:rFonts w:cs="Arial"/>
          <w:color w:val="000000"/>
          <w:szCs w:val="24"/>
          <w:lang w:val="en" w:eastAsia="en-GB"/>
        </w:rPr>
        <w:t>6</w:t>
      </w:r>
      <w:r w:rsidRPr="00A93C4F">
        <w:rPr>
          <w:rFonts w:cs="Arial"/>
          <w:color w:val="000000"/>
          <w:szCs w:val="24"/>
          <w:lang w:val="en" w:eastAsia="en-GB"/>
        </w:rPr>
        <w:t xml:space="preserve"> of the Council’s Constitution states a key decision is an executive decision which:</w:t>
      </w:r>
    </w:p>
    <w:p w14:paraId="09043315" w14:textId="77777777" w:rsidR="004C6F3C" w:rsidRPr="00A93C4F" w:rsidRDefault="004C6F3C" w:rsidP="00D02084">
      <w:pPr>
        <w:ind w:left="567" w:hanging="567"/>
        <w:jc w:val="both"/>
        <w:rPr>
          <w:rFonts w:cs="Arial"/>
          <w:color w:val="000000"/>
          <w:szCs w:val="24"/>
          <w:lang w:val="en" w:eastAsia="en-GB"/>
        </w:rPr>
      </w:pPr>
    </w:p>
    <w:p w14:paraId="2D9F980E" w14:textId="77777777" w:rsidR="00D02084" w:rsidRPr="00A93C4F" w:rsidRDefault="00D02084" w:rsidP="00D02084">
      <w:pPr>
        <w:ind w:left="1440" w:hanging="648"/>
        <w:jc w:val="both"/>
        <w:rPr>
          <w:rFonts w:cs="Arial"/>
          <w:color w:val="000000"/>
          <w:szCs w:val="24"/>
          <w:lang w:val="en" w:eastAsia="en-GB"/>
        </w:rPr>
      </w:pPr>
      <w:r w:rsidRPr="00A93C4F">
        <w:rPr>
          <w:rFonts w:cs="Arial"/>
          <w:color w:val="000000"/>
          <w:szCs w:val="24"/>
          <w:lang w:val="en" w:eastAsia="en-GB"/>
        </w:rPr>
        <w:t xml:space="preserve">(i) </w:t>
      </w:r>
      <w:r w:rsidRPr="00A93C4F">
        <w:rPr>
          <w:rFonts w:cs="Arial"/>
          <w:color w:val="000000"/>
          <w:szCs w:val="24"/>
          <w:lang w:val="en" w:eastAsia="en-GB"/>
        </w:rPr>
        <w:tab/>
        <w:t>is likely to result in the Council incurring expenditure which is, or the making of savings which are, significant having regard to the Council’s budget for the service or function to which the decision relates; or</w:t>
      </w:r>
    </w:p>
    <w:p w14:paraId="5E992ED2" w14:textId="77777777" w:rsidR="00D02084" w:rsidRPr="00A93C4F" w:rsidRDefault="00D02084" w:rsidP="00D02084">
      <w:pPr>
        <w:ind w:left="1440" w:hanging="720"/>
        <w:jc w:val="both"/>
        <w:rPr>
          <w:rFonts w:cs="Arial"/>
          <w:color w:val="000000"/>
          <w:szCs w:val="24"/>
          <w:lang w:val="en" w:eastAsia="en-GB"/>
        </w:rPr>
      </w:pPr>
      <w:r w:rsidRPr="00A93C4F">
        <w:rPr>
          <w:rFonts w:cs="Arial"/>
          <w:color w:val="000000"/>
          <w:szCs w:val="24"/>
          <w:lang w:val="en" w:eastAsia="en-GB"/>
        </w:rPr>
        <w:t xml:space="preserve">(ii) </w:t>
      </w:r>
      <w:r w:rsidRPr="00A93C4F">
        <w:rPr>
          <w:rFonts w:cs="Arial"/>
          <w:color w:val="000000"/>
          <w:szCs w:val="24"/>
          <w:lang w:val="en" w:eastAsia="en-GB"/>
        </w:rPr>
        <w:tab/>
        <w:t xml:space="preserve">is likely to be significant in terms of its effects on communities living or working in an area of two or more wards of the Borough. </w:t>
      </w:r>
    </w:p>
    <w:p w14:paraId="35A6110C" w14:textId="77777777" w:rsidR="00D02084" w:rsidRPr="00A93C4F" w:rsidRDefault="00D02084" w:rsidP="00D02084">
      <w:pPr>
        <w:jc w:val="both"/>
        <w:rPr>
          <w:rFonts w:cs="Arial"/>
          <w:color w:val="000000"/>
          <w:szCs w:val="24"/>
          <w:lang w:val="en" w:eastAsia="en-GB"/>
        </w:rPr>
      </w:pPr>
    </w:p>
    <w:p w14:paraId="3EE8BC45" w14:textId="77777777" w:rsidR="00D02084" w:rsidRPr="00A93C4F" w:rsidRDefault="00D02084" w:rsidP="00D02084">
      <w:pPr>
        <w:ind w:left="720"/>
        <w:jc w:val="both"/>
        <w:rPr>
          <w:rFonts w:cs="Arial"/>
          <w:color w:val="000000"/>
          <w:szCs w:val="24"/>
          <w:lang w:val="en" w:eastAsia="en-GB"/>
        </w:rPr>
      </w:pPr>
      <w:r w:rsidRPr="00A93C4F">
        <w:rPr>
          <w:rFonts w:cs="Arial"/>
          <w:color w:val="000000"/>
          <w:szCs w:val="24"/>
          <w:lang w:val="en" w:eastAsia="en-GB"/>
        </w:rPr>
        <w:t>A decision is significant for the purposes of (i) above if it involves expenditure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14:paraId="756D3FCD" w14:textId="62BE0799" w:rsidR="00D02084" w:rsidRDefault="00D02084" w:rsidP="00B26E17">
      <w:pPr>
        <w:ind w:left="720" w:hanging="720"/>
        <w:jc w:val="both"/>
        <w:rPr>
          <w:bCs/>
        </w:rPr>
      </w:pPr>
    </w:p>
    <w:p w14:paraId="3070B2E9" w14:textId="77777777" w:rsidR="00AC3A95" w:rsidRDefault="00AC3A95" w:rsidP="00AC3A95">
      <w:pPr>
        <w:ind w:firstLine="561"/>
        <w:outlineLvl w:val="1"/>
      </w:pPr>
      <w:r w:rsidRPr="00A93C4F">
        <w:rPr>
          <w:rFonts w:cs="Arial"/>
          <w:b/>
          <w:bCs/>
          <w:sz w:val="28"/>
          <w:szCs w:val="32"/>
        </w:rPr>
        <w:t>Financial Implications</w:t>
      </w:r>
    </w:p>
    <w:p w14:paraId="5D363577" w14:textId="23BE86ED" w:rsidR="00124D6F" w:rsidRDefault="00124D6F" w:rsidP="00124D6F">
      <w:pPr>
        <w:ind w:left="561"/>
        <w:jc w:val="both"/>
        <w:rPr>
          <w:rFonts w:cs="Arial"/>
        </w:rPr>
      </w:pPr>
      <w:r w:rsidRPr="00A93C4F">
        <w:rPr>
          <w:rFonts w:cs="Arial"/>
          <w:szCs w:val="24"/>
          <w:lang w:eastAsia="en-GB"/>
        </w:rPr>
        <w:t xml:space="preserve">Section 31B of the Act requires the local authority to set a council tax sufficient to meet its expenditure </w:t>
      </w:r>
      <w:r>
        <w:rPr>
          <w:rFonts w:cs="Arial"/>
          <w:szCs w:val="24"/>
          <w:lang w:eastAsia="en-GB"/>
        </w:rPr>
        <w:t xml:space="preserve">by </w:t>
      </w:r>
      <w:r w:rsidRPr="00A93C4F">
        <w:rPr>
          <w:rFonts w:cs="Arial"/>
          <w:szCs w:val="24"/>
          <w:lang w:eastAsia="en-GB"/>
        </w:rPr>
        <w:t>taking into account other sources of income such as government grants and non-domestic rates. The business rate outturn has a direct bearing on the Council’s budget and the Council Tax set for 202</w:t>
      </w:r>
      <w:r w:rsidR="000B1CDB">
        <w:rPr>
          <w:rFonts w:cs="Arial"/>
          <w:szCs w:val="24"/>
          <w:lang w:eastAsia="en-GB"/>
        </w:rPr>
        <w:t>3</w:t>
      </w:r>
      <w:r w:rsidRPr="00A93C4F">
        <w:rPr>
          <w:rFonts w:cs="Arial"/>
          <w:szCs w:val="24"/>
          <w:lang w:eastAsia="en-GB"/>
        </w:rPr>
        <w:t>-202</w:t>
      </w:r>
      <w:r w:rsidR="000B1CDB">
        <w:rPr>
          <w:rFonts w:cs="Arial"/>
          <w:szCs w:val="24"/>
          <w:lang w:eastAsia="en-GB"/>
        </w:rPr>
        <w:t>4</w:t>
      </w:r>
      <w:r w:rsidRPr="00A93C4F">
        <w:rPr>
          <w:rFonts w:cs="Arial"/>
          <w:szCs w:val="24"/>
          <w:lang w:eastAsia="en-GB"/>
        </w:rPr>
        <w:t>. The approval of the business rates yield is therefore a</w:t>
      </w:r>
      <w:r>
        <w:rPr>
          <w:rFonts w:cs="Arial"/>
          <w:szCs w:val="24"/>
          <w:lang w:eastAsia="en-GB"/>
        </w:rPr>
        <w:t xml:space="preserve"> key action </w:t>
      </w:r>
      <w:r w:rsidRPr="00A93C4F">
        <w:rPr>
          <w:rFonts w:cs="Arial"/>
          <w:szCs w:val="24"/>
          <w:lang w:eastAsia="en-GB"/>
        </w:rPr>
        <w:t xml:space="preserve">in ensuring the Council meets its statutory duty to balance its budgets. </w:t>
      </w:r>
    </w:p>
    <w:p w14:paraId="11755478" w14:textId="77777777" w:rsidR="00124D6F" w:rsidRDefault="00124D6F" w:rsidP="00AC3A95">
      <w:pPr>
        <w:ind w:left="561"/>
        <w:jc w:val="both"/>
        <w:rPr>
          <w:rFonts w:cs="Arial"/>
          <w:szCs w:val="24"/>
        </w:rPr>
      </w:pPr>
    </w:p>
    <w:p w14:paraId="6E8C50BC" w14:textId="7882816A" w:rsidR="00AC3A95" w:rsidRDefault="00AC3A95" w:rsidP="00AC3A95">
      <w:pPr>
        <w:ind w:left="561"/>
        <w:jc w:val="both"/>
      </w:pPr>
      <w:r w:rsidRPr="00A93C4F">
        <w:rPr>
          <w:rFonts w:cs="Arial"/>
          <w:szCs w:val="24"/>
        </w:rPr>
        <w:t xml:space="preserve">The retained amount for Harrow regarding Business Rates </w:t>
      </w:r>
      <w:r>
        <w:rPr>
          <w:rFonts w:cs="Arial"/>
          <w:szCs w:val="24"/>
        </w:rPr>
        <w:t xml:space="preserve">is therefore </w:t>
      </w:r>
      <w:r w:rsidRPr="00A93C4F">
        <w:rPr>
          <w:rFonts w:cs="Arial"/>
          <w:szCs w:val="24"/>
        </w:rPr>
        <w:t xml:space="preserve">determined to </w:t>
      </w:r>
      <w:r w:rsidRPr="00D04DFD">
        <w:rPr>
          <w:rFonts w:cs="Arial"/>
          <w:szCs w:val="24"/>
        </w:rPr>
        <w:t>be</w:t>
      </w:r>
      <w:r w:rsidRPr="000B1CDB">
        <w:rPr>
          <w:rFonts w:cs="Arial"/>
          <w:color w:val="FF0000"/>
          <w:szCs w:val="24"/>
        </w:rPr>
        <w:t xml:space="preserve"> </w:t>
      </w:r>
      <w:r w:rsidRPr="00C10883">
        <w:rPr>
          <w:rFonts w:cs="Arial"/>
          <w:b/>
          <w:szCs w:val="24"/>
        </w:rPr>
        <w:t>£1</w:t>
      </w:r>
      <w:r w:rsidR="00A5663F" w:rsidRPr="00C10883">
        <w:rPr>
          <w:rFonts w:cs="Arial"/>
          <w:b/>
          <w:szCs w:val="24"/>
        </w:rPr>
        <w:t>2</w:t>
      </w:r>
      <w:r w:rsidRPr="00C10883">
        <w:rPr>
          <w:rFonts w:cs="Arial"/>
          <w:b/>
          <w:szCs w:val="24"/>
        </w:rPr>
        <w:t>.</w:t>
      </w:r>
      <w:r w:rsidR="00A5663F" w:rsidRPr="00C10883">
        <w:rPr>
          <w:rFonts w:cs="Arial"/>
          <w:b/>
          <w:szCs w:val="24"/>
        </w:rPr>
        <w:t>76</w:t>
      </w:r>
      <w:r w:rsidR="005B5998" w:rsidRPr="00C10883">
        <w:rPr>
          <w:rFonts w:cs="Arial"/>
          <w:b/>
          <w:szCs w:val="24"/>
        </w:rPr>
        <w:t>8</w:t>
      </w:r>
      <w:r w:rsidRPr="00C10883">
        <w:rPr>
          <w:rFonts w:cs="Arial"/>
          <w:b/>
          <w:szCs w:val="24"/>
        </w:rPr>
        <w:t>m</w:t>
      </w:r>
      <w:r w:rsidR="008E3643" w:rsidRPr="00C10883">
        <w:rPr>
          <w:rFonts w:cs="Arial"/>
          <w:szCs w:val="24"/>
        </w:rPr>
        <w:t xml:space="preserve"> </w:t>
      </w:r>
      <w:r w:rsidR="008E3643" w:rsidRPr="00866EF2">
        <w:rPr>
          <w:rFonts w:cs="Arial"/>
          <w:szCs w:val="24"/>
        </w:rPr>
        <w:t xml:space="preserve">which </w:t>
      </w:r>
      <w:r w:rsidR="008E3643" w:rsidRPr="00A93C4F">
        <w:rPr>
          <w:rFonts w:cs="Arial"/>
          <w:szCs w:val="24"/>
        </w:rPr>
        <w:t>is 30% of the estimated business rates to be retained</w:t>
      </w:r>
      <w:r w:rsidR="008E3643">
        <w:rPr>
          <w:rFonts w:cs="Arial"/>
          <w:szCs w:val="24"/>
        </w:rPr>
        <w:t xml:space="preserve">. </w:t>
      </w:r>
      <w:r w:rsidR="008E3643" w:rsidRPr="008E3643">
        <w:rPr>
          <w:rFonts w:cs="Arial"/>
          <w:szCs w:val="24"/>
        </w:rPr>
        <w:t>T</w:t>
      </w:r>
      <w:r w:rsidR="00704D16" w:rsidRPr="008E3643">
        <w:rPr>
          <w:rFonts w:cs="Arial"/>
          <w:szCs w:val="24"/>
        </w:rPr>
        <w:t>ogether with the estimated s31 grant</w:t>
      </w:r>
      <w:r w:rsidR="008E3643" w:rsidRPr="008E3643">
        <w:rPr>
          <w:rFonts w:cs="Arial"/>
          <w:szCs w:val="24"/>
        </w:rPr>
        <w:t xml:space="preserve">, </w:t>
      </w:r>
      <w:r w:rsidR="00A44FFE">
        <w:rPr>
          <w:rFonts w:cs="Arial"/>
          <w:szCs w:val="24"/>
        </w:rPr>
        <w:t xml:space="preserve">the figure </w:t>
      </w:r>
      <w:r w:rsidR="008E3643" w:rsidRPr="008E3643">
        <w:rPr>
          <w:rFonts w:cs="Arial"/>
          <w:szCs w:val="24"/>
        </w:rPr>
        <w:t>aligns with the draft budget figure of £17.64</w:t>
      </w:r>
      <w:r w:rsidR="008863FD">
        <w:rPr>
          <w:rFonts w:cs="Arial"/>
          <w:szCs w:val="24"/>
        </w:rPr>
        <w:t>1</w:t>
      </w:r>
      <w:r w:rsidR="008E3643" w:rsidRPr="008E3643">
        <w:rPr>
          <w:rFonts w:cs="Arial"/>
          <w:szCs w:val="24"/>
        </w:rPr>
        <w:t>m</w:t>
      </w:r>
      <w:r w:rsidR="00A44FFE">
        <w:rPr>
          <w:rFonts w:cs="Arial"/>
          <w:szCs w:val="24"/>
        </w:rPr>
        <w:t xml:space="preserve"> retained income</w:t>
      </w:r>
      <w:r w:rsidRPr="008E3643">
        <w:rPr>
          <w:rFonts w:cs="Arial"/>
          <w:szCs w:val="24"/>
        </w:rPr>
        <w:t>.</w:t>
      </w:r>
      <w:r>
        <w:rPr>
          <w:rFonts w:cs="Arial"/>
          <w:szCs w:val="24"/>
        </w:rPr>
        <w:t xml:space="preserve"> </w:t>
      </w:r>
      <w:r w:rsidRPr="00A93C4F">
        <w:t>Th</w:t>
      </w:r>
      <w:r>
        <w:t>is</w:t>
      </w:r>
      <w:r w:rsidRPr="00A93C4F">
        <w:t xml:space="preserve"> estimated NDR income figures will become the actual NDR income for 202</w:t>
      </w:r>
      <w:r w:rsidR="00335E96">
        <w:t>3</w:t>
      </w:r>
      <w:r w:rsidRPr="00A93C4F">
        <w:t>/2</w:t>
      </w:r>
      <w:r w:rsidR="00335E96">
        <w:t>4</w:t>
      </w:r>
      <w:r w:rsidRPr="00A93C4F">
        <w:t xml:space="preserve"> and will be used in setting the 202</w:t>
      </w:r>
      <w:r w:rsidR="00335E96">
        <w:t>3</w:t>
      </w:r>
      <w:r w:rsidRPr="00A93C4F">
        <w:t>/2</w:t>
      </w:r>
      <w:r w:rsidR="00335E96">
        <w:t>4</w:t>
      </w:r>
      <w:r w:rsidRPr="00A93C4F">
        <w:t xml:space="preserve"> budget. </w:t>
      </w:r>
    </w:p>
    <w:p w14:paraId="18023010" w14:textId="77777777" w:rsidR="00AC3A95" w:rsidRDefault="00AC3A95" w:rsidP="00AC3A95">
      <w:pPr>
        <w:ind w:left="561"/>
        <w:jc w:val="both"/>
      </w:pPr>
    </w:p>
    <w:p w14:paraId="26FAA1B7" w14:textId="15B19195" w:rsidR="00AC3A95" w:rsidRPr="001A37A8" w:rsidRDefault="00AC3A95" w:rsidP="00AC3A95">
      <w:pPr>
        <w:ind w:left="561"/>
        <w:jc w:val="both"/>
      </w:pPr>
      <w:r w:rsidRPr="001A37A8">
        <w:t xml:space="preserve">Collection rates have </w:t>
      </w:r>
      <w:r>
        <w:t xml:space="preserve">been lower than expected </w:t>
      </w:r>
      <w:r w:rsidRPr="001A37A8">
        <w:t>in 202</w:t>
      </w:r>
      <w:r w:rsidR="00335E96">
        <w:t>2</w:t>
      </w:r>
      <w:r w:rsidRPr="001A37A8">
        <w:t>/2</w:t>
      </w:r>
      <w:r w:rsidR="00335E96">
        <w:t>3</w:t>
      </w:r>
      <w:r w:rsidRPr="001A37A8">
        <w:t xml:space="preserve"> </w:t>
      </w:r>
      <w:r>
        <w:t>but</w:t>
      </w:r>
      <w:r w:rsidRPr="001A37A8">
        <w:t xml:space="preserve"> Harrow has provisions for bad debt to 31/3/2</w:t>
      </w:r>
      <w:r w:rsidR="00B95572">
        <w:t>3</w:t>
      </w:r>
      <w:r w:rsidRPr="001A37A8">
        <w:t xml:space="preserve"> of </w:t>
      </w:r>
      <w:r w:rsidR="00BB327E">
        <w:t xml:space="preserve">covering approximately </w:t>
      </w:r>
      <w:r w:rsidR="000C4790" w:rsidRPr="00C10883">
        <w:t>7</w:t>
      </w:r>
      <w:r w:rsidR="00323544" w:rsidRPr="00C10883">
        <w:t>0%</w:t>
      </w:r>
      <w:r w:rsidR="00121ED1" w:rsidRPr="00C10883">
        <w:t xml:space="preserve"> </w:t>
      </w:r>
      <w:r w:rsidR="00121ED1" w:rsidRPr="00121ED1">
        <w:t>of current business rates arrears to 31/3/2022</w:t>
      </w:r>
      <w:r w:rsidRPr="00121ED1">
        <w:t>. As such</w:t>
      </w:r>
      <w:r w:rsidR="00B14F85" w:rsidRPr="00121ED1">
        <w:t xml:space="preserve">, </w:t>
      </w:r>
      <w:r w:rsidRPr="00121ED1">
        <w:t>the tax base reflect</w:t>
      </w:r>
      <w:r w:rsidRPr="001A37A8">
        <w:t xml:space="preserve">s current performance whilst building </w:t>
      </w:r>
      <w:r w:rsidRPr="006908BA">
        <w:t xml:space="preserve">in </w:t>
      </w:r>
      <w:r w:rsidR="006908BA" w:rsidRPr="008235B4">
        <w:t xml:space="preserve">over </w:t>
      </w:r>
      <w:r w:rsidRPr="008235B4">
        <w:t>£</w:t>
      </w:r>
      <w:r w:rsidR="006908BA" w:rsidRPr="008235B4">
        <w:t>1</w:t>
      </w:r>
      <w:r w:rsidRPr="008235B4">
        <w:t>m for potential bad debt in 202</w:t>
      </w:r>
      <w:r w:rsidR="008235B4" w:rsidRPr="008235B4">
        <w:t>3</w:t>
      </w:r>
      <w:r w:rsidRPr="008235B4">
        <w:t>/2</w:t>
      </w:r>
      <w:r w:rsidR="008235B4" w:rsidRPr="008235B4">
        <w:t>4</w:t>
      </w:r>
      <w:r w:rsidRPr="008235B4">
        <w:t xml:space="preserve"> should collection performance be further hampered by </w:t>
      </w:r>
      <w:r w:rsidRPr="001A37A8">
        <w:t xml:space="preserve">the </w:t>
      </w:r>
      <w:r w:rsidR="00C10883">
        <w:t>cost-of-living</w:t>
      </w:r>
      <w:r w:rsidR="008235B4">
        <w:t xml:space="preserve"> crisis and its </w:t>
      </w:r>
      <w:r>
        <w:t>impact on the economy</w:t>
      </w:r>
      <w:r w:rsidRPr="001A37A8">
        <w:t>.</w:t>
      </w:r>
    </w:p>
    <w:p w14:paraId="781AC364" w14:textId="77777777" w:rsidR="00AC3A95" w:rsidRDefault="00AC3A95" w:rsidP="00AC3A95">
      <w:pPr>
        <w:ind w:left="561"/>
        <w:jc w:val="both"/>
      </w:pPr>
    </w:p>
    <w:p w14:paraId="35C6D255" w14:textId="55274F13" w:rsidR="00AC3A95" w:rsidRDefault="00AC3A95" w:rsidP="00AC3A95">
      <w:pPr>
        <w:ind w:left="561"/>
        <w:jc w:val="both"/>
      </w:pPr>
      <w:r w:rsidRPr="00A93C4F">
        <w:rPr>
          <w:rFonts w:cs="Arial"/>
          <w:szCs w:val="24"/>
        </w:rPr>
        <w:t>Th</w:t>
      </w:r>
      <w:r>
        <w:rPr>
          <w:rFonts w:cs="Arial"/>
          <w:szCs w:val="24"/>
        </w:rPr>
        <w:t xml:space="preserve">e estimated </w:t>
      </w:r>
      <w:r w:rsidRPr="00A93C4F">
        <w:rPr>
          <w:rFonts w:cs="Arial"/>
          <w:szCs w:val="24"/>
        </w:rPr>
        <w:t>amount will be reflected in the Council’s Final Revenue Budget for 202</w:t>
      </w:r>
      <w:r w:rsidR="00621DA0">
        <w:rPr>
          <w:rFonts w:cs="Arial"/>
          <w:szCs w:val="24"/>
        </w:rPr>
        <w:t>3</w:t>
      </w:r>
      <w:r w:rsidRPr="00A93C4F">
        <w:rPr>
          <w:rFonts w:cs="Arial"/>
          <w:szCs w:val="24"/>
        </w:rPr>
        <w:t>-2</w:t>
      </w:r>
      <w:r w:rsidR="00621DA0">
        <w:rPr>
          <w:rFonts w:cs="Arial"/>
          <w:szCs w:val="24"/>
        </w:rPr>
        <w:t>4</w:t>
      </w:r>
      <w:r w:rsidRPr="00A93C4F">
        <w:rPr>
          <w:rFonts w:cs="Arial"/>
          <w:szCs w:val="24"/>
        </w:rPr>
        <w:t>.</w:t>
      </w:r>
      <w:r w:rsidRPr="003B2AF2">
        <w:t xml:space="preserve"> </w:t>
      </w:r>
      <w:r w:rsidRPr="00A93C4F">
        <w:t xml:space="preserve">The </w:t>
      </w:r>
      <w:r w:rsidRPr="00A93C4F">
        <w:rPr>
          <w:u w:val="single"/>
        </w:rPr>
        <w:t>actual</w:t>
      </w:r>
      <w:r w:rsidRPr="00A93C4F">
        <w:t xml:space="preserve"> NDR income received will not actually be available to the authority as it will go directly into the collection fund. At the end of the year any surplus or deficit in the collection fund will be taken into account as part of future year’s rate retention calculations. Any risk will therefore be borne, in the first instance, by the collection fund rather than the general fund.</w:t>
      </w:r>
    </w:p>
    <w:p w14:paraId="7DA2B858" w14:textId="66870060" w:rsidR="00970615" w:rsidRDefault="00970615" w:rsidP="00AC3A95">
      <w:pPr>
        <w:ind w:left="561"/>
        <w:jc w:val="both"/>
      </w:pPr>
    </w:p>
    <w:p w14:paraId="64265F2E" w14:textId="1AAE3251" w:rsidR="00970615" w:rsidRDefault="00970615" w:rsidP="00AC3A95">
      <w:pPr>
        <w:ind w:left="561"/>
        <w:jc w:val="both"/>
      </w:pPr>
      <w:r w:rsidRPr="0071234B">
        <w:t>Relief schemes announced</w:t>
      </w:r>
      <w:r w:rsidR="00712B5D" w:rsidRPr="0071234B">
        <w:t xml:space="preserve"> in the </w:t>
      </w:r>
      <w:r w:rsidR="0071234B" w:rsidRPr="0071234B">
        <w:t>November</w:t>
      </w:r>
      <w:r w:rsidR="00712B5D" w:rsidRPr="0071234B">
        <w:t xml:space="preserve"> budget will be fully compensated by s31 grants. As such</w:t>
      </w:r>
      <w:r w:rsidR="00760907">
        <w:t>,</w:t>
      </w:r>
      <w:r w:rsidR="00712B5D" w:rsidRPr="0071234B">
        <w:t xml:space="preserve"> where Harrow </w:t>
      </w:r>
      <w:r w:rsidR="00712B5D">
        <w:t xml:space="preserve">awards additional </w:t>
      </w:r>
      <w:r w:rsidR="00760907">
        <w:t>reliefs</w:t>
      </w:r>
      <w:r w:rsidR="0088026B">
        <w:t xml:space="preserve"> under its discretionary powers which have been mandated</w:t>
      </w:r>
      <w:r w:rsidR="00860D40">
        <w:t xml:space="preserve"> by Central Government</w:t>
      </w:r>
      <w:r w:rsidR="0088026B">
        <w:t xml:space="preserve">, and in turn its </w:t>
      </w:r>
      <w:r w:rsidR="00E24350">
        <w:t>business retention take</w:t>
      </w:r>
      <w:r w:rsidR="00860D40">
        <w:t xml:space="preserve"> is reduced</w:t>
      </w:r>
      <w:r w:rsidR="00E24350">
        <w:t xml:space="preserve">, this will be fully offset by 100% compensatory grant so </w:t>
      </w:r>
      <w:r w:rsidR="00645089">
        <w:t>the</w:t>
      </w:r>
      <w:r w:rsidR="00E24350">
        <w:t xml:space="preserve"> Council </w:t>
      </w:r>
      <w:r w:rsidR="00645089">
        <w:t>is</w:t>
      </w:r>
      <w:r w:rsidR="00E24350">
        <w:t xml:space="preserve"> no worse off.</w:t>
      </w:r>
    </w:p>
    <w:p w14:paraId="277FDC39" w14:textId="77777777" w:rsidR="00AC3A95" w:rsidRPr="00A93C4F" w:rsidRDefault="00AC3A95" w:rsidP="00AC3A95">
      <w:pPr>
        <w:ind w:left="561"/>
        <w:jc w:val="both"/>
        <w:rPr>
          <w:rFonts w:cs="Arial"/>
          <w:szCs w:val="24"/>
        </w:rPr>
      </w:pPr>
    </w:p>
    <w:p w14:paraId="6F304C46" w14:textId="12D70F98" w:rsidR="00AC3A95" w:rsidRPr="00A93C4F" w:rsidRDefault="00AC3A95" w:rsidP="00AC3A95">
      <w:pPr>
        <w:ind w:firstLine="561"/>
        <w:jc w:val="both"/>
        <w:outlineLvl w:val="1"/>
        <w:rPr>
          <w:rFonts w:cs="Arial"/>
          <w:b/>
          <w:bCs/>
          <w:sz w:val="28"/>
          <w:szCs w:val="32"/>
        </w:rPr>
      </w:pPr>
      <w:r w:rsidRPr="00A93C4F">
        <w:rPr>
          <w:rFonts w:cs="Arial"/>
          <w:b/>
          <w:bCs/>
          <w:sz w:val="28"/>
          <w:szCs w:val="32"/>
        </w:rPr>
        <w:t>Performance Issues</w:t>
      </w:r>
    </w:p>
    <w:p w14:paraId="2AEB03E8" w14:textId="417E6B3E" w:rsidR="00AC3A95" w:rsidRPr="001A37A8" w:rsidRDefault="00AC3A95" w:rsidP="00AC3A95">
      <w:pPr>
        <w:ind w:left="561"/>
        <w:jc w:val="both"/>
      </w:pPr>
      <w:r w:rsidRPr="001A37A8">
        <w:t xml:space="preserve">There is the potential that collection rates will be lower than anticipated in the tax base should the </w:t>
      </w:r>
      <w:r>
        <w:t xml:space="preserve">economy continue to be impacted by the on-going </w:t>
      </w:r>
      <w:r w:rsidR="00CE1641">
        <w:t>cost of living crisis</w:t>
      </w:r>
      <w:r w:rsidRPr="001A37A8">
        <w:t>. However as already stated, any immediate risk will be borne, in the first instance, by the collection fund, which will give the authority time to address matters should a worse scenario than planned for materialise.</w:t>
      </w:r>
    </w:p>
    <w:p w14:paraId="515D3C48" w14:textId="77777777" w:rsidR="00D02084" w:rsidRDefault="00D02084" w:rsidP="00B26E17">
      <w:pPr>
        <w:ind w:left="720" w:hanging="720"/>
        <w:jc w:val="both"/>
        <w:rPr>
          <w:bCs/>
        </w:rPr>
      </w:pPr>
    </w:p>
    <w:p w14:paraId="221F5677" w14:textId="77777777" w:rsidR="00CA31FF" w:rsidRDefault="00A93C4F" w:rsidP="00CA31FF">
      <w:pPr>
        <w:tabs>
          <w:tab w:val="left" w:pos="567"/>
        </w:tabs>
        <w:outlineLvl w:val="1"/>
        <w:rPr>
          <w:b/>
          <w:color w:val="000000"/>
          <w:sz w:val="28"/>
          <w:szCs w:val="28"/>
        </w:rPr>
      </w:pPr>
      <w:r w:rsidRPr="00A93C4F">
        <w:rPr>
          <w:rFonts w:cs="Arial"/>
          <w:b/>
          <w:bCs/>
          <w:sz w:val="28"/>
          <w:szCs w:val="28"/>
        </w:rPr>
        <w:tab/>
      </w:r>
      <w:r w:rsidR="00E45E7B" w:rsidRPr="005F4153">
        <w:rPr>
          <w:b/>
          <w:color w:val="000000"/>
          <w:sz w:val="28"/>
          <w:szCs w:val="28"/>
        </w:rPr>
        <w:t>Environmental Imp</w:t>
      </w:r>
      <w:r w:rsidR="00E45E7B">
        <w:rPr>
          <w:b/>
          <w:color w:val="000000"/>
          <w:sz w:val="28"/>
          <w:szCs w:val="28"/>
        </w:rPr>
        <w:t>lications</w:t>
      </w:r>
      <w:r w:rsidR="00CA31FF">
        <w:rPr>
          <w:b/>
          <w:color w:val="000000"/>
          <w:sz w:val="28"/>
          <w:szCs w:val="28"/>
        </w:rPr>
        <w:t xml:space="preserve"> </w:t>
      </w:r>
    </w:p>
    <w:p w14:paraId="266798B7" w14:textId="1739C064" w:rsidR="00E45E7B" w:rsidRDefault="00E45E7B" w:rsidP="00CA31FF">
      <w:pPr>
        <w:tabs>
          <w:tab w:val="left" w:pos="567"/>
        </w:tabs>
        <w:ind w:left="567"/>
        <w:outlineLvl w:val="1"/>
        <w:rPr>
          <w:color w:val="000000"/>
        </w:rPr>
      </w:pPr>
      <w:r w:rsidRPr="005F4153">
        <w:rPr>
          <w:color w:val="000000"/>
        </w:rPr>
        <w:t xml:space="preserve">There are no direct environmental impacts anticipated from the recommendations contained within this report.  </w:t>
      </w:r>
    </w:p>
    <w:p w14:paraId="6F5A5B07" w14:textId="77777777" w:rsidR="00E45E7B" w:rsidRDefault="00E45E7B" w:rsidP="00E45E7B">
      <w:pPr>
        <w:jc w:val="both"/>
        <w:rPr>
          <w:color w:val="000000"/>
        </w:rPr>
      </w:pPr>
    </w:p>
    <w:p w14:paraId="021872CD" w14:textId="77777777" w:rsidR="00CA31FF" w:rsidRDefault="00E45E7B" w:rsidP="00CA31FF">
      <w:pPr>
        <w:ind w:firstLine="567"/>
        <w:jc w:val="both"/>
        <w:rPr>
          <w:b/>
          <w:color w:val="000000"/>
          <w:sz w:val="28"/>
          <w:szCs w:val="28"/>
        </w:rPr>
      </w:pPr>
      <w:r>
        <w:rPr>
          <w:b/>
          <w:color w:val="000000"/>
          <w:sz w:val="28"/>
          <w:szCs w:val="28"/>
        </w:rPr>
        <w:t>Data</w:t>
      </w:r>
      <w:r w:rsidRPr="00B5325A">
        <w:rPr>
          <w:b/>
          <w:color w:val="000000"/>
          <w:sz w:val="28"/>
          <w:szCs w:val="28"/>
        </w:rPr>
        <w:t xml:space="preserve"> </w:t>
      </w:r>
      <w:r>
        <w:rPr>
          <w:b/>
          <w:color w:val="000000"/>
          <w:sz w:val="28"/>
          <w:szCs w:val="28"/>
        </w:rPr>
        <w:t>Protection Implications</w:t>
      </w:r>
      <w:r w:rsidR="00CA31FF">
        <w:rPr>
          <w:b/>
          <w:color w:val="000000"/>
          <w:sz w:val="28"/>
          <w:szCs w:val="28"/>
        </w:rPr>
        <w:t xml:space="preserve"> </w:t>
      </w:r>
    </w:p>
    <w:p w14:paraId="08C572D5" w14:textId="3E7AA4FE" w:rsidR="00E45E7B" w:rsidRDefault="00E45E7B" w:rsidP="00CA31FF">
      <w:pPr>
        <w:ind w:left="561"/>
        <w:jc w:val="both"/>
        <w:rPr>
          <w:color w:val="000000"/>
        </w:rPr>
      </w:pPr>
      <w:r w:rsidRPr="005F4153">
        <w:rPr>
          <w:color w:val="000000"/>
        </w:rPr>
        <w:t xml:space="preserve">There are no direct </w:t>
      </w:r>
      <w:r>
        <w:rPr>
          <w:color w:val="000000"/>
        </w:rPr>
        <w:t xml:space="preserve">data protection </w:t>
      </w:r>
      <w:r w:rsidRPr="005F4153">
        <w:rPr>
          <w:color w:val="000000"/>
        </w:rPr>
        <w:t>impacts anticipated from the recommendations contained within this report.</w:t>
      </w:r>
    </w:p>
    <w:p w14:paraId="19D313A6" w14:textId="77777777" w:rsidR="00E45E7B" w:rsidRDefault="00E45E7B" w:rsidP="00E45E7B">
      <w:pPr>
        <w:jc w:val="both"/>
        <w:rPr>
          <w:color w:val="000000"/>
        </w:rPr>
      </w:pPr>
    </w:p>
    <w:p w14:paraId="51A5789B" w14:textId="77777777" w:rsidR="00E45E7B" w:rsidRPr="005F4153" w:rsidRDefault="00E45E7B" w:rsidP="00E45E7B">
      <w:pPr>
        <w:ind w:firstLine="561"/>
        <w:jc w:val="both"/>
        <w:rPr>
          <w:b/>
          <w:color w:val="000000"/>
          <w:sz w:val="28"/>
          <w:szCs w:val="28"/>
        </w:rPr>
      </w:pPr>
      <w:r>
        <w:rPr>
          <w:b/>
          <w:color w:val="000000"/>
          <w:sz w:val="28"/>
          <w:szCs w:val="28"/>
        </w:rPr>
        <w:t>Procurement Implications</w:t>
      </w:r>
    </w:p>
    <w:p w14:paraId="5410C014" w14:textId="57C1F14E" w:rsidR="00E45E7B" w:rsidRDefault="00E45E7B" w:rsidP="00E45E7B">
      <w:pPr>
        <w:ind w:left="561"/>
        <w:jc w:val="both"/>
        <w:rPr>
          <w:color w:val="000000"/>
        </w:rPr>
      </w:pPr>
      <w:r w:rsidRPr="005F4153">
        <w:rPr>
          <w:color w:val="000000"/>
        </w:rPr>
        <w:t xml:space="preserve">There are no </w:t>
      </w:r>
      <w:r>
        <w:rPr>
          <w:color w:val="000000"/>
        </w:rPr>
        <w:t xml:space="preserve">procurement </w:t>
      </w:r>
      <w:r w:rsidRPr="005F4153">
        <w:rPr>
          <w:color w:val="000000"/>
        </w:rPr>
        <w:t>impacts anticipated from the recommendations contained within this report.</w:t>
      </w:r>
    </w:p>
    <w:p w14:paraId="46531035" w14:textId="7BA1970B" w:rsidR="00CA31FF" w:rsidRDefault="00CA31FF" w:rsidP="00E45E7B">
      <w:pPr>
        <w:ind w:left="561"/>
        <w:jc w:val="both"/>
        <w:rPr>
          <w:color w:val="000000"/>
        </w:rPr>
      </w:pPr>
    </w:p>
    <w:p w14:paraId="6B7E47EF" w14:textId="404F77F1" w:rsidR="00047A48" w:rsidRPr="00A93C4F" w:rsidRDefault="00047A48" w:rsidP="00047A48">
      <w:pPr>
        <w:ind w:left="561"/>
        <w:rPr>
          <w:b/>
          <w:sz w:val="28"/>
          <w:szCs w:val="28"/>
        </w:rPr>
      </w:pPr>
      <w:r w:rsidRPr="00A93C4F">
        <w:rPr>
          <w:b/>
          <w:sz w:val="28"/>
          <w:szCs w:val="28"/>
        </w:rPr>
        <w:t>Risk Management Implications</w:t>
      </w:r>
    </w:p>
    <w:p w14:paraId="6FBC5F53" w14:textId="6846B8B3" w:rsidR="00CE71AB" w:rsidRDefault="00047A48" w:rsidP="00047A48">
      <w:pPr>
        <w:ind w:left="561"/>
        <w:jc w:val="both"/>
        <w:rPr>
          <w:rFonts w:cs="Arial"/>
          <w:szCs w:val="24"/>
          <w:lang w:eastAsia="en-GB"/>
        </w:rPr>
      </w:pPr>
      <w:r w:rsidRPr="00BF1850">
        <w:rPr>
          <w:rFonts w:cs="Arial"/>
          <w:szCs w:val="24"/>
          <w:lang w:eastAsia="en-GB"/>
        </w:rPr>
        <w:t xml:space="preserve">Risks included on corporate or directorate risk register? </w:t>
      </w:r>
      <w:r w:rsidR="00CE71AB" w:rsidRPr="00CE71AB">
        <w:rPr>
          <w:rFonts w:cs="Arial"/>
          <w:b/>
          <w:bCs/>
          <w:szCs w:val="24"/>
          <w:lang w:eastAsia="en-GB"/>
        </w:rPr>
        <w:t>No</w:t>
      </w:r>
    </w:p>
    <w:p w14:paraId="5409FD5C" w14:textId="30DED5C9" w:rsidR="00047A48" w:rsidRDefault="00047A48" w:rsidP="00047A48">
      <w:pPr>
        <w:ind w:left="561"/>
        <w:jc w:val="both"/>
        <w:rPr>
          <w:rFonts w:cs="Arial"/>
          <w:szCs w:val="24"/>
          <w:lang w:eastAsia="en-GB"/>
        </w:rPr>
      </w:pPr>
      <w:r w:rsidRPr="00BF1850">
        <w:rPr>
          <w:rFonts w:cs="Arial"/>
          <w:szCs w:val="24"/>
          <w:lang w:eastAsia="en-GB"/>
        </w:rPr>
        <w:lastRenderedPageBreak/>
        <w:t>Yes</w:t>
      </w:r>
      <w:r>
        <w:rPr>
          <w:rFonts w:cs="Arial"/>
          <w:szCs w:val="24"/>
          <w:lang w:eastAsia="en-GB"/>
        </w:rPr>
        <w:t xml:space="preserve"> - as part of MTFS</w:t>
      </w:r>
    </w:p>
    <w:p w14:paraId="1E498452" w14:textId="77777777" w:rsidR="00047A48" w:rsidRPr="00BF1850" w:rsidRDefault="00047A48" w:rsidP="00047A48">
      <w:pPr>
        <w:ind w:left="561"/>
        <w:jc w:val="both"/>
        <w:rPr>
          <w:rFonts w:cs="Arial"/>
          <w:szCs w:val="24"/>
          <w:lang w:eastAsia="en-GB"/>
        </w:rPr>
      </w:pPr>
      <w:r w:rsidRPr="00BF1850">
        <w:rPr>
          <w:rFonts w:cs="Arial"/>
          <w:szCs w:val="24"/>
          <w:lang w:eastAsia="en-GB"/>
        </w:rPr>
        <w:t xml:space="preserve">  </w:t>
      </w:r>
    </w:p>
    <w:p w14:paraId="056605B9" w14:textId="2E49536E" w:rsidR="00047A48" w:rsidRDefault="00047A48" w:rsidP="00047A48">
      <w:pPr>
        <w:ind w:left="561"/>
        <w:jc w:val="both"/>
        <w:rPr>
          <w:rFonts w:cs="Arial"/>
          <w:szCs w:val="24"/>
          <w:lang w:eastAsia="en-GB"/>
        </w:rPr>
      </w:pPr>
      <w:r w:rsidRPr="00BF1850">
        <w:rPr>
          <w:rFonts w:cs="Arial"/>
          <w:szCs w:val="24"/>
          <w:lang w:eastAsia="en-GB"/>
        </w:rPr>
        <w:t xml:space="preserve">Separate risk register in place? </w:t>
      </w:r>
      <w:r w:rsidR="00CE71AB" w:rsidRPr="008558A0">
        <w:rPr>
          <w:rFonts w:cs="Arial"/>
          <w:b/>
          <w:bCs/>
          <w:szCs w:val="24"/>
          <w:lang w:val="en-US" w:eastAsia="en-GB"/>
        </w:rPr>
        <w:t>No</w:t>
      </w:r>
      <w:r w:rsidR="00CE71AB" w:rsidRPr="008558A0">
        <w:rPr>
          <w:rFonts w:cs="Arial"/>
          <w:szCs w:val="24"/>
          <w:lang w:val="en-US" w:eastAsia="en-GB"/>
        </w:rPr>
        <w:t xml:space="preserve"> </w:t>
      </w:r>
      <w:r w:rsidR="00CE71AB" w:rsidRPr="008558A0">
        <w:rPr>
          <w:rFonts w:cs="Arial"/>
          <w:szCs w:val="24"/>
          <w:lang w:eastAsia="en-GB"/>
        </w:rPr>
        <w:t>but part of overall budget risks</w:t>
      </w:r>
    </w:p>
    <w:p w14:paraId="35F64C12" w14:textId="77777777" w:rsidR="00047A48" w:rsidRPr="00BF1850" w:rsidRDefault="00047A48" w:rsidP="00047A48">
      <w:pPr>
        <w:ind w:left="561"/>
        <w:jc w:val="both"/>
        <w:rPr>
          <w:rFonts w:cs="Arial"/>
          <w:szCs w:val="24"/>
          <w:lang w:eastAsia="en-GB"/>
        </w:rPr>
      </w:pPr>
    </w:p>
    <w:p w14:paraId="44D11B6A" w14:textId="76E3AE5F" w:rsidR="00047A48" w:rsidRPr="00BF1850" w:rsidRDefault="00047A48" w:rsidP="00047A48">
      <w:pPr>
        <w:ind w:left="561"/>
        <w:jc w:val="both"/>
        <w:rPr>
          <w:rFonts w:cs="Arial"/>
          <w:szCs w:val="24"/>
          <w:lang w:eastAsia="en-GB"/>
        </w:rPr>
      </w:pPr>
      <w:r w:rsidRPr="00BF1850">
        <w:rPr>
          <w:rFonts w:cs="Arial"/>
          <w:szCs w:val="24"/>
          <w:lang w:eastAsia="en-GB"/>
        </w:rPr>
        <w:t xml:space="preserve">The relevant risks contained in the register are attached/summarised below. </w:t>
      </w:r>
      <w:r w:rsidR="009F2B53" w:rsidRPr="009F2B53">
        <w:rPr>
          <w:rFonts w:cs="Arial"/>
          <w:b/>
          <w:bCs/>
          <w:szCs w:val="24"/>
          <w:lang w:eastAsia="en-GB"/>
        </w:rPr>
        <w:t>N/A</w:t>
      </w:r>
    </w:p>
    <w:p w14:paraId="25159949" w14:textId="563E179D" w:rsidR="00047A48" w:rsidRDefault="00047A48" w:rsidP="00047A48">
      <w:pPr>
        <w:ind w:left="561"/>
        <w:jc w:val="both"/>
        <w:rPr>
          <w:rFonts w:cs="Arial"/>
          <w:szCs w:val="24"/>
          <w:lang w:eastAsia="en-GB"/>
        </w:rPr>
      </w:pPr>
    </w:p>
    <w:p w14:paraId="1D4E5FCD" w14:textId="18932282" w:rsidR="00645089" w:rsidRPr="00BF1850" w:rsidRDefault="009967CC" w:rsidP="00047A48">
      <w:pPr>
        <w:ind w:left="561"/>
        <w:jc w:val="both"/>
        <w:rPr>
          <w:rFonts w:cs="Arial"/>
          <w:szCs w:val="24"/>
          <w:lang w:eastAsia="en-GB"/>
        </w:rPr>
      </w:pPr>
      <w:r w:rsidRPr="005F4153">
        <w:rPr>
          <w:rFonts w:cs="Arial"/>
          <w:szCs w:val="24"/>
          <w:lang w:eastAsia="en-GB"/>
        </w:rPr>
        <w:t>Whilst Officers have estimated the tax base as accurately as possible within the data available, there</w:t>
      </w:r>
      <w:r>
        <w:rPr>
          <w:rFonts w:cs="Arial"/>
          <w:szCs w:val="24"/>
          <w:lang w:eastAsia="en-GB"/>
        </w:rPr>
        <w:t xml:space="preserve"> are risks which should be considered as set out in the table below.</w:t>
      </w:r>
    </w:p>
    <w:p w14:paraId="2F2F9A6B" w14:textId="77777777" w:rsidR="00047A48" w:rsidRDefault="00047A48" w:rsidP="00047A48">
      <w:pPr>
        <w:ind w:left="561"/>
        <w:jc w:val="both"/>
        <w:rPr>
          <w:rFonts w:cs="Arial"/>
          <w:szCs w:val="24"/>
          <w:lang w:eastAsia="en-GB"/>
        </w:rPr>
      </w:pPr>
    </w:p>
    <w:tbl>
      <w:tblPr>
        <w:tblStyle w:val="TableGrid"/>
        <w:tblW w:w="0" w:type="auto"/>
        <w:tblInd w:w="562" w:type="dxa"/>
        <w:tblLook w:val="04A0" w:firstRow="1" w:lastRow="0" w:firstColumn="1" w:lastColumn="0" w:noHBand="0" w:noVBand="1"/>
      </w:tblPr>
      <w:tblGrid>
        <w:gridCol w:w="2223"/>
        <w:gridCol w:w="4581"/>
        <w:gridCol w:w="933"/>
      </w:tblGrid>
      <w:tr w:rsidR="00047A48" w14:paraId="0A7690AB" w14:textId="77777777" w:rsidTr="00860BE4">
        <w:tc>
          <w:tcPr>
            <w:tcW w:w="2223" w:type="dxa"/>
          </w:tcPr>
          <w:p w14:paraId="5043C20D" w14:textId="77777777" w:rsidR="00047A48" w:rsidRPr="007622B2" w:rsidRDefault="00047A48" w:rsidP="00860BE4">
            <w:pPr>
              <w:jc w:val="both"/>
              <w:rPr>
                <w:b/>
                <w:bCs/>
                <w:color w:val="000000"/>
              </w:rPr>
            </w:pPr>
            <w:r w:rsidRPr="007622B2">
              <w:rPr>
                <w:b/>
                <w:bCs/>
                <w:color w:val="000000"/>
              </w:rPr>
              <w:t xml:space="preserve">Risk </w:t>
            </w:r>
            <w:r>
              <w:rPr>
                <w:b/>
                <w:bCs/>
                <w:color w:val="000000"/>
              </w:rPr>
              <w:t>Description</w:t>
            </w:r>
          </w:p>
        </w:tc>
        <w:tc>
          <w:tcPr>
            <w:tcW w:w="4581" w:type="dxa"/>
          </w:tcPr>
          <w:p w14:paraId="52785BFE" w14:textId="77777777" w:rsidR="00047A48" w:rsidRPr="007622B2" w:rsidRDefault="00047A48" w:rsidP="00860BE4">
            <w:pPr>
              <w:jc w:val="both"/>
              <w:rPr>
                <w:b/>
                <w:bCs/>
                <w:color w:val="000000"/>
              </w:rPr>
            </w:pPr>
            <w:r w:rsidRPr="007622B2">
              <w:rPr>
                <w:b/>
                <w:bCs/>
                <w:color w:val="000000"/>
              </w:rPr>
              <w:t>Mitigations</w:t>
            </w:r>
          </w:p>
        </w:tc>
        <w:tc>
          <w:tcPr>
            <w:tcW w:w="933" w:type="dxa"/>
          </w:tcPr>
          <w:p w14:paraId="6E6DEEFF" w14:textId="77777777" w:rsidR="00047A48" w:rsidRPr="007622B2" w:rsidRDefault="00047A48" w:rsidP="00860BE4">
            <w:pPr>
              <w:jc w:val="both"/>
              <w:rPr>
                <w:b/>
                <w:bCs/>
                <w:color w:val="000000"/>
              </w:rPr>
            </w:pPr>
            <w:r>
              <w:rPr>
                <w:b/>
                <w:bCs/>
                <w:color w:val="000000"/>
              </w:rPr>
              <w:t>RAG</w:t>
            </w:r>
          </w:p>
        </w:tc>
      </w:tr>
      <w:tr w:rsidR="00047A48" w14:paraId="6031F426" w14:textId="77777777" w:rsidTr="00860BE4">
        <w:tc>
          <w:tcPr>
            <w:tcW w:w="2223" w:type="dxa"/>
          </w:tcPr>
          <w:p w14:paraId="0198B67C" w14:textId="77777777" w:rsidR="00047A48" w:rsidRPr="00BF73B9" w:rsidRDefault="00047A48" w:rsidP="00860BE4">
            <w:pPr>
              <w:rPr>
                <w:color w:val="000000"/>
                <w:sz w:val="20"/>
              </w:rPr>
            </w:pPr>
            <w:r>
              <w:rPr>
                <w:color w:val="000000"/>
                <w:sz w:val="20"/>
              </w:rPr>
              <w:t>1.</w:t>
            </w:r>
            <w:r w:rsidRPr="00BF73B9">
              <w:rPr>
                <w:color w:val="000000"/>
                <w:sz w:val="20"/>
              </w:rPr>
              <w:t>Rate Retention calculation is inaccurate</w:t>
            </w:r>
          </w:p>
        </w:tc>
        <w:tc>
          <w:tcPr>
            <w:tcW w:w="4581" w:type="dxa"/>
          </w:tcPr>
          <w:p w14:paraId="5A9D55AA" w14:textId="77777777" w:rsidR="00047A48" w:rsidRPr="00CD50F5" w:rsidRDefault="00047A48" w:rsidP="00860BE4">
            <w:pPr>
              <w:jc w:val="both"/>
              <w:rPr>
                <w:color w:val="000000"/>
                <w:sz w:val="20"/>
              </w:rPr>
            </w:pPr>
            <w:r w:rsidRPr="00CD50F5">
              <w:rPr>
                <w:color w:val="000000"/>
                <w:sz w:val="20"/>
              </w:rPr>
              <w:t>Processes in place to validate tax base calculations</w:t>
            </w:r>
            <w:r>
              <w:rPr>
                <w:color w:val="000000"/>
                <w:sz w:val="20"/>
              </w:rPr>
              <w:t>. Calculation rules are mainly mandated by regulations although it also relies on Officers best estimates and local Harrow knowledge regarding commercial hereditaments.</w:t>
            </w:r>
          </w:p>
        </w:tc>
        <w:tc>
          <w:tcPr>
            <w:tcW w:w="933" w:type="dxa"/>
            <w:shd w:val="clear" w:color="auto" w:fill="92D050"/>
          </w:tcPr>
          <w:p w14:paraId="60EC3173" w14:textId="2C541516" w:rsidR="00047A48" w:rsidRPr="00CD50F5" w:rsidRDefault="004C6F3C" w:rsidP="00860BE4">
            <w:pPr>
              <w:jc w:val="both"/>
              <w:rPr>
                <w:color w:val="000000"/>
                <w:sz w:val="20"/>
              </w:rPr>
            </w:pPr>
            <w:r>
              <w:rPr>
                <w:color w:val="000000"/>
                <w:sz w:val="20"/>
              </w:rPr>
              <w:t>Green</w:t>
            </w:r>
          </w:p>
        </w:tc>
      </w:tr>
      <w:tr w:rsidR="00047A48" w14:paraId="3D039FE8" w14:textId="77777777" w:rsidTr="00860BE4">
        <w:tc>
          <w:tcPr>
            <w:tcW w:w="2223" w:type="dxa"/>
          </w:tcPr>
          <w:p w14:paraId="77703ACE" w14:textId="77777777" w:rsidR="00047A48" w:rsidRPr="00CD50F5" w:rsidRDefault="00047A48" w:rsidP="00860BE4">
            <w:pPr>
              <w:rPr>
                <w:color w:val="000000"/>
                <w:sz w:val="20"/>
              </w:rPr>
            </w:pPr>
            <w:r>
              <w:rPr>
                <w:color w:val="000000"/>
                <w:sz w:val="20"/>
              </w:rPr>
              <w:t>2.</w:t>
            </w:r>
            <w:r w:rsidRPr="00CD50F5">
              <w:rPr>
                <w:color w:val="000000"/>
                <w:sz w:val="20"/>
              </w:rPr>
              <w:t>Expected Collection rate not achievable</w:t>
            </w:r>
          </w:p>
        </w:tc>
        <w:tc>
          <w:tcPr>
            <w:tcW w:w="4581" w:type="dxa"/>
          </w:tcPr>
          <w:p w14:paraId="278CEB58" w14:textId="29661BC8" w:rsidR="00047A48" w:rsidRPr="00CD50F5" w:rsidRDefault="00047A48" w:rsidP="00860BE4">
            <w:pPr>
              <w:jc w:val="both"/>
              <w:rPr>
                <w:color w:val="000000"/>
                <w:sz w:val="20"/>
              </w:rPr>
            </w:pPr>
            <w:r w:rsidRPr="00CD50F5">
              <w:rPr>
                <w:color w:val="000000"/>
                <w:sz w:val="20"/>
              </w:rPr>
              <w:t xml:space="preserve">A strict recovery program in place and BDP provisions for arrears </w:t>
            </w:r>
            <w:r>
              <w:rPr>
                <w:color w:val="000000"/>
                <w:sz w:val="20"/>
              </w:rPr>
              <w:t xml:space="preserve">are </w:t>
            </w:r>
            <w:r w:rsidRPr="00CD50F5">
              <w:rPr>
                <w:color w:val="000000"/>
                <w:sz w:val="20"/>
              </w:rPr>
              <w:t xml:space="preserve">currently </w:t>
            </w:r>
            <w:r>
              <w:rPr>
                <w:color w:val="000000"/>
                <w:sz w:val="20"/>
              </w:rPr>
              <w:t>well provided for w</w:t>
            </w:r>
            <w:r w:rsidRPr="00CD50F5">
              <w:rPr>
                <w:color w:val="000000"/>
                <w:sz w:val="20"/>
              </w:rPr>
              <w:t xml:space="preserve">hich would mitigate lower collection rates by up to </w:t>
            </w:r>
            <w:r>
              <w:rPr>
                <w:color w:val="000000"/>
                <w:sz w:val="20"/>
              </w:rPr>
              <w:t xml:space="preserve">an additional </w:t>
            </w:r>
            <w:r w:rsidR="00C2180B">
              <w:rPr>
                <w:color w:val="000000"/>
                <w:sz w:val="20"/>
              </w:rPr>
              <w:t>1-</w:t>
            </w:r>
            <w:r w:rsidRPr="00CD50F5">
              <w:rPr>
                <w:color w:val="000000"/>
                <w:sz w:val="20"/>
              </w:rPr>
              <w:t>2% in the short term.</w:t>
            </w:r>
          </w:p>
        </w:tc>
        <w:tc>
          <w:tcPr>
            <w:tcW w:w="933" w:type="dxa"/>
            <w:shd w:val="clear" w:color="auto" w:fill="FFC000"/>
          </w:tcPr>
          <w:p w14:paraId="642D6835" w14:textId="3BE97DFA" w:rsidR="00047A48" w:rsidRPr="00CD50F5" w:rsidRDefault="004C6F3C" w:rsidP="00860BE4">
            <w:pPr>
              <w:jc w:val="both"/>
              <w:rPr>
                <w:color w:val="000000"/>
                <w:sz w:val="20"/>
              </w:rPr>
            </w:pPr>
            <w:r>
              <w:rPr>
                <w:color w:val="000000"/>
                <w:sz w:val="20"/>
              </w:rPr>
              <w:t>Amber</w:t>
            </w:r>
          </w:p>
        </w:tc>
      </w:tr>
      <w:tr w:rsidR="00047A48" w14:paraId="7D1B0818" w14:textId="77777777" w:rsidTr="00860BE4">
        <w:tc>
          <w:tcPr>
            <w:tcW w:w="2223" w:type="dxa"/>
          </w:tcPr>
          <w:p w14:paraId="4F1A5B46" w14:textId="3BA4CFD8" w:rsidR="00047A48" w:rsidRPr="001A37A8" w:rsidRDefault="00047A48" w:rsidP="00860BE4">
            <w:pPr>
              <w:rPr>
                <w:color w:val="000000"/>
                <w:sz w:val="20"/>
              </w:rPr>
            </w:pPr>
            <w:r>
              <w:rPr>
                <w:color w:val="000000"/>
                <w:sz w:val="20"/>
              </w:rPr>
              <w:t>3.</w:t>
            </w:r>
            <w:r w:rsidRPr="001A37A8">
              <w:rPr>
                <w:color w:val="000000"/>
                <w:sz w:val="20"/>
              </w:rPr>
              <w:t xml:space="preserve">Losses specifically due to the </w:t>
            </w:r>
            <w:r w:rsidR="00C10883">
              <w:rPr>
                <w:color w:val="000000"/>
                <w:sz w:val="20"/>
              </w:rPr>
              <w:t>cost-of-living</w:t>
            </w:r>
            <w:r w:rsidR="004C1920">
              <w:rPr>
                <w:color w:val="000000"/>
                <w:sz w:val="20"/>
              </w:rPr>
              <w:t xml:space="preserve"> crisis</w:t>
            </w:r>
          </w:p>
        </w:tc>
        <w:tc>
          <w:tcPr>
            <w:tcW w:w="4581" w:type="dxa"/>
          </w:tcPr>
          <w:p w14:paraId="412C7E05" w14:textId="77777777" w:rsidR="00047A48" w:rsidRPr="00C075CC" w:rsidRDefault="00047A48" w:rsidP="00860BE4">
            <w:pPr>
              <w:jc w:val="both"/>
              <w:rPr>
                <w:sz w:val="20"/>
              </w:rPr>
            </w:pPr>
            <w:r w:rsidRPr="00C075CC">
              <w:rPr>
                <w:sz w:val="20"/>
              </w:rPr>
              <w:t>Facts as we know them taken into account and best estimates based on historical and current knowledge used as a guide.</w:t>
            </w:r>
          </w:p>
          <w:p w14:paraId="62EB6DBD" w14:textId="77777777" w:rsidR="00047A48" w:rsidRPr="00C075CC" w:rsidRDefault="00047A48" w:rsidP="00860BE4">
            <w:pPr>
              <w:jc w:val="both"/>
              <w:rPr>
                <w:sz w:val="20"/>
              </w:rPr>
            </w:pPr>
          </w:p>
          <w:p w14:paraId="7CDDE963" w14:textId="23302B39" w:rsidR="00047A48" w:rsidRPr="00C075CC" w:rsidRDefault="00047A48" w:rsidP="00860BE4">
            <w:pPr>
              <w:jc w:val="both"/>
              <w:rPr>
                <w:sz w:val="20"/>
              </w:rPr>
            </w:pPr>
            <w:r w:rsidRPr="00C075CC">
              <w:rPr>
                <w:sz w:val="20"/>
              </w:rPr>
              <w:t xml:space="preserve">We </w:t>
            </w:r>
            <w:r w:rsidRPr="00A077CB">
              <w:rPr>
                <w:sz w:val="20"/>
              </w:rPr>
              <w:t>have £2m in unused Appeal provisions</w:t>
            </w:r>
            <w:r w:rsidR="00AE4CAC" w:rsidRPr="00A077CB">
              <w:rPr>
                <w:sz w:val="20"/>
              </w:rPr>
              <w:t xml:space="preserve"> and these will be </w:t>
            </w:r>
            <w:r w:rsidR="00A077CB" w:rsidRPr="00A077CB">
              <w:rPr>
                <w:sz w:val="20"/>
              </w:rPr>
              <w:t xml:space="preserve">regularly </w:t>
            </w:r>
            <w:r w:rsidR="00D12505" w:rsidRPr="00A077CB">
              <w:rPr>
                <w:sz w:val="20"/>
              </w:rPr>
              <w:t>reviewed to ensure</w:t>
            </w:r>
            <w:r w:rsidRPr="00A077CB">
              <w:rPr>
                <w:sz w:val="20"/>
              </w:rPr>
              <w:t xml:space="preserve"> </w:t>
            </w:r>
            <w:r w:rsidR="00D12505" w:rsidRPr="00A077CB">
              <w:rPr>
                <w:sz w:val="20"/>
              </w:rPr>
              <w:t xml:space="preserve">any </w:t>
            </w:r>
            <w:r w:rsidR="00A077CB" w:rsidRPr="00A077CB">
              <w:rPr>
                <w:sz w:val="20"/>
              </w:rPr>
              <w:t xml:space="preserve">potential </w:t>
            </w:r>
            <w:r w:rsidR="00D12505" w:rsidRPr="00A077CB">
              <w:rPr>
                <w:sz w:val="20"/>
              </w:rPr>
              <w:t xml:space="preserve">new risks are </w:t>
            </w:r>
            <w:r w:rsidRPr="00C075CC">
              <w:rPr>
                <w:sz w:val="20"/>
              </w:rPr>
              <w:t xml:space="preserve">mitigate </w:t>
            </w:r>
            <w:r w:rsidR="00A077CB">
              <w:rPr>
                <w:sz w:val="20"/>
              </w:rPr>
              <w:t>against</w:t>
            </w:r>
            <w:r w:rsidRPr="00C075CC">
              <w:rPr>
                <w:sz w:val="20"/>
              </w:rPr>
              <w:t>.</w:t>
            </w:r>
          </w:p>
          <w:p w14:paraId="684F7339" w14:textId="77777777" w:rsidR="00047A48" w:rsidRPr="00C075CC" w:rsidRDefault="00047A48" w:rsidP="00860BE4">
            <w:pPr>
              <w:jc w:val="both"/>
              <w:rPr>
                <w:sz w:val="20"/>
              </w:rPr>
            </w:pPr>
          </w:p>
        </w:tc>
        <w:tc>
          <w:tcPr>
            <w:tcW w:w="933" w:type="dxa"/>
            <w:shd w:val="clear" w:color="auto" w:fill="FFC000"/>
          </w:tcPr>
          <w:p w14:paraId="4B044013" w14:textId="6E779B9F" w:rsidR="00047A48" w:rsidRPr="008419D3" w:rsidRDefault="004C6F3C" w:rsidP="00860BE4">
            <w:pPr>
              <w:jc w:val="both"/>
              <w:rPr>
                <w:color w:val="FF0000"/>
                <w:sz w:val="20"/>
              </w:rPr>
            </w:pPr>
            <w:r w:rsidRPr="004C6F3C">
              <w:rPr>
                <w:sz w:val="20"/>
              </w:rPr>
              <w:t>Amber</w:t>
            </w:r>
          </w:p>
        </w:tc>
      </w:tr>
      <w:tr w:rsidR="00047A48" w14:paraId="51358FA4" w14:textId="77777777" w:rsidTr="00860BE4">
        <w:tc>
          <w:tcPr>
            <w:tcW w:w="2223" w:type="dxa"/>
          </w:tcPr>
          <w:p w14:paraId="11126FD7" w14:textId="77777777" w:rsidR="00047A48" w:rsidRPr="00BF73B9" w:rsidRDefault="00047A48" w:rsidP="00860BE4">
            <w:pPr>
              <w:rPr>
                <w:color w:val="000000"/>
                <w:sz w:val="20"/>
              </w:rPr>
            </w:pPr>
            <w:r w:rsidRPr="00BF73B9">
              <w:rPr>
                <w:rFonts w:cs="Arial"/>
                <w:sz w:val="20"/>
              </w:rPr>
              <w:t>4.Volatility in the rating list</w:t>
            </w:r>
          </w:p>
        </w:tc>
        <w:tc>
          <w:tcPr>
            <w:tcW w:w="4581" w:type="dxa"/>
          </w:tcPr>
          <w:p w14:paraId="0B594CF9" w14:textId="6A5BD9B9" w:rsidR="00047A48" w:rsidRDefault="00047A48" w:rsidP="00860BE4">
            <w:pPr>
              <w:jc w:val="both"/>
              <w:rPr>
                <w:color w:val="000000"/>
                <w:sz w:val="20"/>
              </w:rPr>
            </w:pPr>
            <w:r>
              <w:rPr>
                <w:color w:val="000000"/>
                <w:sz w:val="20"/>
              </w:rPr>
              <w:t xml:space="preserve">The authority has no certainty regarding detrimental changes to the list. There are many potential changes that could occur (as below) and therefore the estimates rely on historical knowledge and </w:t>
            </w:r>
            <w:r w:rsidR="00C10883">
              <w:rPr>
                <w:color w:val="000000"/>
                <w:sz w:val="20"/>
              </w:rPr>
              <w:t>officers’</w:t>
            </w:r>
            <w:r>
              <w:rPr>
                <w:color w:val="000000"/>
                <w:sz w:val="20"/>
              </w:rPr>
              <w:t xml:space="preserve"> best estimate.</w:t>
            </w:r>
          </w:p>
          <w:p w14:paraId="7BEA92F8" w14:textId="77777777" w:rsidR="00047A48" w:rsidRDefault="00047A48" w:rsidP="00860BE4">
            <w:pPr>
              <w:jc w:val="both"/>
              <w:rPr>
                <w:color w:val="000000"/>
                <w:sz w:val="20"/>
              </w:rPr>
            </w:pPr>
          </w:p>
          <w:p w14:paraId="71151BDE" w14:textId="3BE353A4" w:rsidR="00047A48" w:rsidRPr="00BF1850" w:rsidRDefault="00047A48" w:rsidP="00860BE4">
            <w:pPr>
              <w:jc w:val="both"/>
              <w:rPr>
                <w:color w:val="000000"/>
                <w:sz w:val="20"/>
              </w:rPr>
            </w:pPr>
            <w:r w:rsidRPr="00BF1850">
              <w:rPr>
                <w:color w:val="000000"/>
                <w:sz w:val="20"/>
              </w:rPr>
              <w:t xml:space="preserve">•A </w:t>
            </w:r>
            <w:r w:rsidR="00C10883" w:rsidRPr="00BF1850">
              <w:rPr>
                <w:color w:val="000000"/>
                <w:sz w:val="20"/>
              </w:rPr>
              <w:t>specific level</w:t>
            </w:r>
            <w:r w:rsidRPr="00BF1850">
              <w:rPr>
                <w:color w:val="000000"/>
                <w:sz w:val="20"/>
              </w:rPr>
              <w:t xml:space="preserve"> of Appeals cannot be anticipated, </w:t>
            </w:r>
          </w:p>
          <w:p w14:paraId="51DB0384" w14:textId="77777777" w:rsidR="00047A48" w:rsidRPr="00BF1850" w:rsidRDefault="00047A48" w:rsidP="00860BE4">
            <w:pPr>
              <w:jc w:val="both"/>
              <w:rPr>
                <w:color w:val="000000"/>
                <w:sz w:val="20"/>
              </w:rPr>
            </w:pPr>
            <w:r w:rsidRPr="00BF1850">
              <w:rPr>
                <w:color w:val="000000"/>
                <w:sz w:val="20"/>
              </w:rPr>
              <w:t>•Property demolitions may occur which were not anticipated,</w:t>
            </w:r>
          </w:p>
          <w:p w14:paraId="5A22C022" w14:textId="77777777" w:rsidR="00047A48" w:rsidRPr="00BF1850" w:rsidRDefault="00047A48" w:rsidP="00860BE4">
            <w:pPr>
              <w:jc w:val="both"/>
              <w:rPr>
                <w:color w:val="000000"/>
                <w:sz w:val="20"/>
              </w:rPr>
            </w:pPr>
            <w:r w:rsidRPr="00BF1850">
              <w:rPr>
                <w:color w:val="000000"/>
                <w:sz w:val="20"/>
              </w:rPr>
              <w:t>•There may be Valuation Officer review of assessments which give rise to reductions in rateable value,</w:t>
            </w:r>
            <w:r>
              <w:rPr>
                <w:color w:val="000000"/>
                <w:sz w:val="20"/>
              </w:rPr>
              <w:t xml:space="preserve"> especially risky due to the pandemic and the need for values to reflect lower occupancy specifically re office space</w:t>
            </w:r>
          </w:p>
          <w:p w14:paraId="0231C8C0" w14:textId="77777777" w:rsidR="00047A48" w:rsidRPr="00BF1850" w:rsidRDefault="00047A48" w:rsidP="00860BE4">
            <w:pPr>
              <w:jc w:val="both"/>
              <w:rPr>
                <w:color w:val="000000"/>
                <w:sz w:val="20"/>
              </w:rPr>
            </w:pPr>
            <w:r w:rsidRPr="00BF1850">
              <w:rPr>
                <w:color w:val="000000"/>
                <w:sz w:val="20"/>
              </w:rPr>
              <w:t>•Substantial backdated RV reductions may occur which were not anticipated,</w:t>
            </w:r>
          </w:p>
          <w:p w14:paraId="4AEF0C8C" w14:textId="77777777" w:rsidR="00047A48" w:rsidRPr="00BF1850" w:rsidRDefault="00047A48" w:rsidP="00860BE4">
            <w:pPr>
              <w:jc w:val="both"/>
              <w:rPr>
                <w:color w:val="000000"/>
                <w:sz w:val="20"/>
              </w:rPr>
            </w:pPr>
            <w:r w:rsidRPr="00BF1850">
              <w:rPr>
                <w:color w:val="000000"/>
                <w:sz w:val="20"/>
              </w:rPr>
              <w:t>•Rating is “reactive”; appeals served now may not be considered and resolved for a number of years, and,</w:t>
            </w:r>
          </w:p>
          <w:p w14:paraId="4FC12370" w14:textId="77777777" w:rsidR="00047A48" w:rsidRDefault="00047A48" w:rsidP="00860BE4">
            <w:pPr>
              <w:jc w:val="both"/>
              <w:rPr>
                <w:color w:val="000000"/>
                <w:sz w:val="20"/>
              </w:rPr>
            </w:pPr>
            <w:r w:rsidRPr="00BF1850">
              <w:rPr>
                <w:color w:val="000000"/>
                <w:sz w:val="20"/>
              </w:rPr>
              <w:t>•Large hereditaments could have a disproportionate effect on Harrow, for example, heavy industrial plants etc, whose assessments may be challenged on multiple occasions through the life of the Rating List.</w:t>
            </w:r>
          </w:p>
          <w:p w14:paraId="3F796298" w14:textId="77777777" w:rsidR="00047A48" w:rsidRPr="00CD50F5" w:rsidRDefault="00047A48" w:rsidP="00860BE4">
            <w:pPr>
              <w:jc w:val="both"/>
              <w:rPr>
                <w:color w:val="000000"/>
                <w:sz w:val="20"/>
              </w:rPr>
            </w:pPr>
          </w:p>
        </w:tc>
        <w:tc>
          <w:tcPr>
            <w:tcW w:w="933" w:type="dxa"/>
            <w:shd w:val="clear" w:color="auto" w:fill="FFC000"/>
          </w:tcPr>
          <w:p w14:paraId="2EC83211" w14:textId="7312446A" w:rsidR="00047A48" w:rsidRDefault="004C6F3C" w:rsidP="00860BE4">
            <w:pPr>
              <w:jc w:val="both"/>
              <w:rPr>
                <w:color w:val="000000"/>
                <w:sz w:val="20"/>
              </w:rPr>
            </w:pPr>
            <w:r>
              <w:rPr>
                <w:color w:val="000000"/>
                <w:sz w:val="20"/>
              </w:rPr>
              <w:t>Amber</w:t>
            </w:r>
          </w:p>
        </w:tc>
      </w:tr>
      <w:tr w:rsidR="00EF1340" w14:paraId="3813FF69" w14:textId="77777777" w:rsidTr="00860BE4">
        <w:tc>
          <w:tcPr>
            <w:tcW w:w="2223" w:type="dxa"/>
          </w:tcPr>
          <w:p w14:paraId="5D7587A4" w14:textId="48A2FAE5" w:rsidR="00EF1340" w:rsidRPr="00BF73B9" w:rsidRDefault="00E8097A" w:rsidP="00860BE4">
            <w:pPr>
              <w:rPr>
                <w:rFonts w:cs="Arial"/>
                <w:sz w:val="20"/>
              </w:rPr>
            </w:pPr>
            <w:r>
              <w:rPr>
                <w:rFonts w:cs="Arial"/>
                <w:sz w:val="20"/>
              </w:rPr>
              <w:t>Higher than anticipated losses due to Appeals materialises</w:t>
            </w:r>
          </w:p>
        </w:tc>
        <w:tc>
          <w:tcPr>
            <w:tcW w:w="4581" w:type="dxa"/>
          </w:tcPr>
          <w:p w14:paraId="00E18516" w14:textId="19678DAA" w:rsidR="00EF1340" w:rsidRDefault="00E8097A" w:rsidP="00860BE4">
            <w:pPr>
              <w:jc w:val="both"/>
              <w:rPr>
                <w:color w:val="000000"/>
                <w:sz w:val="20"/>
              </w:rPr>
            </w:pPr>
            <w:r>
              <w:rPr>
                <w:color w:val="000000"/>
                <w:sz w:val="20"/>
              </w:rPr>
              <w:t>Whilst historically Harrow’s losses have been higher than</w:t>
            </w:r>
            <w:r w:rsidR="001C5A86">
              <w:rPr>
                <w:color w:val="000000"/>
                <w:sz w:val="20"/>
              </w:rPr>
              <w:t xml:space="preserve"> </w:t>
            </w:r>
            <w:r>
              <w:rPr>
                <w:color w:val="000000"/>
                <w:sz w:val="20"/>
              </w:rPr>
              <w:t xml:space="preserve">Central Government </w:t>
            </w:r>
            <w:r w:rsidR="003D37D4">
              <w:rPr>
                <w:color w:val="000000"/>
                <w:sz w:val="20"/>
              </w:rPr>
              <w:t xml:space="preserve">suggested percentages, this has been mitigated against by allowing £2.5m Appeals Provisions in year </w:t>
            </w:r>
            <w:r w:rsidR="00776FC8">
              <w:rPr>
                <w:color w:val="000000"/>
                <w:sz w:val="20"/>
              </w:rPr>
              <w:t xml:space="preserve">one of the List coming into play. As losses </w:t>
            </w:r>
            <w:r w:rsidR="0052196A">
              <w:rPr>
                <w:color w:val="000000"/>
                <w:sz w:val="20"/>
              </w:rPr>
              <w:t xml:space="preserve">materialise over 3-5 years, building up provisions yearly will ensure no large loss due to </w:t>
            </w:r>
            <w:r w:rsidR="00B018EA">
              <w:rPr>
                <w:color w:val="000000"/>
                <w:sz w:val="20"/>
              </w:rPr>
              <w:t xml:space="preserve">this. </w:t>
            </w:r>
            <w:r w:rsidR="00C10883">
              <w:rPr>
                <w:color w:val="000000"/>
                <w:sz w:val="20"/>
              </w:rPr>
              <w:t>Also,</w:t>
            </w:r>
            <w:r w:rsidR="00B018EA">
              <w:rPr>
                <w:color w:val="000000"/>
                <w:sz w:val="20"/>
              </w:rPr>
              <w:t xml:space="preserve"> future years </w:t>
            </w:r>
            <w:r w:rsidR="00B018EA">
              <w:rPr>
                <w:color w:val="000000"/>
                <w:sz w:val="20"/>
              </w:rPr>
              <w:lastRenderedPageBreak/>
              <w:t xml:space="preserve">will be reviewed to ensure a fighting fund exists to cater for potential </w:t>
            </w:r>
            <w:r w:rsidR="00DD3298">
              <w:rPr>
                <w:color w:val="000000"/>
                <w:sz w:val="20"/>
              </w:rPr>
              <w:t xml:space="preserve">large </w:t>
            </w:r>
            <w:r w:rsidR="00B018EA">
              <w:rPr>
                <w:color w:val="000000"/>
                <w:sz w:val="20"/>
              </w:rPr>
              <w:t>losses</w:t>
            </w:r>
            <w:r w:rsidR="00DD3298">
              <w:rPr>
                <w:color w:val="000000"/>
                <w:sz w:val="20"/>
              </w:rPr>
              <w:t xml:space="preserve"> in the future should they occur. </w:t>
            </w:r>
          </w:p>
        </w:tc>
        <w:tc>
          <w:tcPr>
            <w:tcW w:w="933" w:type="dxa"/>
            <w:shd w:val="clear" w:color="auto" w:fill="FFC000"/>
          </w:tcPr>
          <w:p w14:paraId="66BB3CAF" w14:textId="3A1EBD0A" w:rsidR="00EF1340" w:rsidRDefault="00002F04" w:rsidP="00860BE4">
            <w:pPr>
              <w:jc w:val="both"/>
              <w:rPr>
                <w:color w:val="000000"/>
                <w:sz w:val="20"/>
              </w:rPr>
            </w:pPr>
            <w:r>
              <w:rPr>
                <w:color w:val="000000"/>
                <w:sz w:val="20"/>
              </w:rPr>
              <w:lastRenderedPageBreak/>
              <w:t>Amber</w:t>
            </w:r>
          </w:p>
        </w:tc>
      </w:tr>
    </w:tbl>
    <w:p w14:paraId="0ED45BC6" w14:textId="77777777" w:rsidR="00047A48" w:rsidRDefault="00047A48" w:rsidP="00047A48">
      <w:pPr>
        <w:ind w:left="561"/>
        <w:jc w:val="both"/>
        <w:rPr>
          <w:rFonts w:cs="Arial"/>
          <w:szCs w:val="24"/>
          <w:lang w:eastAsia="en-GB"/>
        </w:rPr>
      </w:pPr>
    </w:p>
    <w:p w14:paraId="100EC73F" w14:textId="77777777" w:rsidR="00BC4ACA" w:rsidRDefault="00162430" w:rsidP="004C1E62">
      <w:pPr>
        <w:keepNext/>
        <w:outlineLvl w:val="1"/>
        <w:rPr>
          <w:rFonts w:cs="Arial"/>
          <w:b/>
          <w:bCs/>
          <w:sz w:val="28"/>
          <w:szCs w:val="28"/>
        </w:rPr>
      </w:pPr>
      <w:r w:rsidRPr="00162430">
        <w:rPr>
          <w:rFonts w:cs="Arial"/>
          <w:b/>
          <w:bCs/>
          <w:sz w:val="28"/>
          <w:szCs w:val="28"/>
        </w:rPr>
        <w:t>Equalities implications</w:t>
      </w:r>
    </w:p>
    <w:p w14:paraId="0ADEB684" w14:textId="0CB4D2FC" w:rsidR="00162430" w:rsidRDefault="00BD0159" w:rsidP="004C1E62">
      <w:pPr>
        <w:keepNext/>
        <w:outlineLvl w:val="1"/>
        <w:rPr>
          <w:color w:val="000000"/>
        </w:rPr>
      </w:pPr>
      <w:r w:rsidRPr="005F4153">
        <w:rPr>
          <w:color w:val="000000"/>
        </w:rPr>
        <w:t>There are no Equalities implications from this report.</w:t>
      </w:r>
    </w:p>
    <w:p w14:paraId="5DB0BC5F" w14:textId="77777777" w:rsidR="003063E5" w:rsidRDefault="003063E5" w:rsidP="00BC4ACA">
      <w:pPr>
        <w:rPr>
          <w:b/>
          <w:sz w:val="28"/>
          <w:szCs w:val="28"/>
        </w:rPr>
      </w:pPr>
    </w:p>
    <w:p w14:paraId="744F7728" w14:textId="77777777" w:rsidR="003063E5" w:rsidRPr="003063E5" w:rsidRDefault="003063E5" w:rsidP="003063E5">
      <w:pPr>
        <w:rPr>
          <w:b/>
          <w:sz w:val="28"/>
          <w:szCs w:val="28"/>
        </w:rPr>
      </w:pPr>
      <w:r w:rsidRPr="003063E5">
        <w:rPr>
          <w:b/>
          <w:sz w:val="28"/>
          <w:szCs w:val="28"/>
        </w:rPr>
        <w:t>Council Priorities</w:t>
      </w:r>
    </w:p>
    <w:p w14:paraId="05C055A6" w14:textId="13E81B7D" w:rsidR="00162430" w:rsidRDefault="00162430" w:rsidP="00BC4ACA">
      <w:pPr>
        <w:jc w:val="both"/>
      </w:pPr>
      <w:r w:rsidRPr="00A93C4F">
        <w:t>The Business Rates Baseline allows the Council to raise local funding which is fundamental in supporting all corporate priorities as Business Rates Retention is a key element of the Council’s overall budget.</w:t>
      </w:r>
      <w:r w:rsidR="00DF20BA">
        <w:t xml:space="preserve"> As such it supports</w:t>
      </w:r>
      <w:r w:rsidR="00C10883">
        <w:t>:</w:t>
      </w:r>
    </w:p>
    <w:p w14:paraId="5ADF7E6E" w14:textId="1D1BD712" w:rsidR="00DF20BA" w:rsidRDefault="000C07BD" w:rsidP="00DF20BA">
      <w:pPr>
        <w:jc w:val="both"/>
      </w:pPr>
      <w:r>
        <w:t xml:space="preserve">1. </w:t>
      </w:r>
      <w:r w:rsidR="00DF20BA">
        <w:t>A council that puts residents first</w:t>
      </w:r>
    </w:p>
    <w:p w14:paraId="2DE55722" w14:textId="77777777" w:rsidR="00DF20BA" w:rsidRDefault="00DF20BA" w:rsidP="00DF20BA">
      <w:pPr>
        <w:jc w:val="both"/>
      </w:pPr>
      <w:r>
        <w:t>2. A borough that is clean and safe</w:t>
      </w:r>
    </w:p>
    <w:p w14:paraId="5C4D53EE" w14:textId="77777777" w:rsidR="00DF20BA" w:rsidRDefault="00DF20BA" w:rsidP="00DF20BA">
      <w:pPr>
        <w:jc w:val="both"/>
      </w:pPr>
      <w:r>
        <w:t>3. A place where those in need are supported</w:t>
      </w:r>
    </w:p>
    <w:p w14:paraId="221F4056" w14:textId="77777777" w:rsidR="00DF20BA" w:rsidRPr="00A93C4F" w:rsidRDefault="00DF20BA" w:rsidP="00BC4ACA">
      <w:pPr>
        <w:jc w:val="both"/>
      </w:pPr>
    </w:p>
    <w:p w14:paraId="282F3955" w14:textId="77777777" w:rsidR="008B1E72" w:rsidRDefault="008B1E72" w:rsidP="008B1E72">
      <w:pPr>
        <w:pStyle w:val="Heading1"/>
        <w:keepNext/>
      </w:pPr>
      <w:r>
        <w:t>Section 3 - Statutory Officer Clearance</w:t>
      </w:r>
    </w:p>
    <w:p w14:paraId="36B7481F" w14:textId="77777777" w:rsidR="008B1E72" w:rsidRDefault="008B1E72" w:rsidP="008B1E72">
      <w:pPr>
        <w:rPr>
          <w:b/>
          <w:bCs/>
        </w:rPr>
      </w:pPr>
    </w:p>
    <w:p w14:paraId="3056A9B9" w14:textId="165786F6" w:rsidR="008B1E72" w:rsidRPr="00065934" w:rsidRDefault="008B1E72" w:rsidP="008B1E72">
      <w:pPr>
        <w:rPr>
          <w:b/>
          <w:bCs/>
        </w:rPr>
      </w:pPr>
      <w:r w:rsidRPr="00065934">
        <w:rPr>
          <w:b/>
          <w:bCs/>
        </w:rPr>
        <w:t>Statutory Officer:</w:t>
      </w:r>
      <w:r w:rsidR="00D75E2B">
        <w:rPr>
          <w:b/>
          <w:bCs/>
        </w:rPr>
        <w:t xml:space="preserve"> Sharon Daniels</w:t>
      </w:r>
    </w:p>
    <w:p w14:paraId="07B9FD98" w14:textId="77777777" w:rsidR="008B1E72" w:rsidRPr="00C10883" w:rsidRDefault="008B1E72" w:rsidP="008B1E72">
      <w:r w:rsidRPr="00C10883">
        <w:t>Signed on behalf of the Chief Financial Officer</w:t>
      </w:r>
    </w:p>
    <w:p w14:paraId="6047C634" w14:textId="79BA1A92" w:rsidR="008B1E72" w:rsidRDefault="008B1E72" w:rsidP="008B1E72">
      <w:r>
        <w:t xml:space="preserve">Date: </w:t>
      </w:r>
      <w:r w:rsidR="000A24D2">
        <w:t>14</w:t>
      </w:r>
      <w:r>
        <w:t xml:space="preserve"> December 2022</w:t>
      </w:r>
    </w:p>
    <w:p w14:paraId="3C8BA2D7" w14:textId="77777777" w:rsidR="008B1E72" w:rsidRDefault="008B1E72" w:rsidP="008B1E72"/>
    <w:p w14:paraId="53F2E5CD" w14:textId="022834A0" w:rsidR="008B1E72" w:rsidRPr="00065934" w:rsidRDefault="008B1E72" w:rsidP="008B1E72">
      <w:pPr>
        <w:rPr>
          <w:b/>
          <w:bCs/>
        </w:rPr>
      </w:pPr>
      <w:r w:rsidRPr="00065934">
        <w:rPr>
          <w:b/>
          <w:bCs/>
        </w:rPr>
        <w:t>Statutory Officer:</w:t>
      </w:r>
      <w:r w:rsidR="005C545B">
        <w:rPr>
          <w:b/>
          <w:bCs/>
        </w:rPr>
        <w:t xml:space="preserve"> Baljeet Virdee</w:t>
      </w:r>
    </w:p>
    <w:p w14:paraId="2866BF31" w14:textId="77777777" w:rsidR="008B1E72" w:rsidRPr="00C10883" w:rsidRDefault="008B1E72" w:rsidP="008B1E72">
      <w:r w:rsidRPr="00C10883">
        <w:t>Signed on behalf of the Monitoring Officer</w:t>
      </w:r>
    </w:p>
    <w:p w14:paraId="044536B4" w14:textId="20A0EFD4" w:rsidR="008B1E72" w:rsidRDefault="008B1E72" w:rsidP="008B1E72">
      <w:r>
        <w:t xml:space="preserve">Date: </w:t>
      </w:r>
      <w:r w:rsidR="000A24D2">
        <w:t>14</w:t>
      </w:r>
      <w:r>
        <w:t xml:space="preserve"> December 2022</w:t>
      </w:r>
    </w:p>
    <w:p w14:paraId="6E505102" w14:textId="77777777" w:rsidR="008B1E72" w:rsidRDefault="008B1E72" w:rsidP="008B1E72"/>
    <w:p w14:paraId="1A40ADB8" w14:textId="33E31D51" w:rsidR="008B1E72" w:rsidRPr="003D4DB7" w:rsidRDefault="008B1E72" w:rsidP="008B1E72">
      <w:pPr>
        <w:rPr>
          <w:b/>
          <w:bCs/>
        </w:rPr>
      </w:pPr>
      <w:r w:rsidRPr="003D4DB7">
        <w:rPr>
          <w:b/>
          <w:bCs/>
        </w:rPr>
        <w:t>Chief Officer:</w:t>
      </w:r>
      <w:r w:rsidR="005C545B">
        <w:rPr>
          <w:b/>
          <w:bCs/>
        </w:rPr>
        <w:t xml:space="preserve"> Dawn Calvert</w:t>
      </w:r>
    </w:p>
    <w:p w14:paraId="3E552637" w14:textId="77777777" w:rsidR="008B1E72" w:rsidRPr="00C10883" w:rsidRDefault="008B1E72" w:rsidP="008B1E72">
      <w:r w:rsidRPr="00C10883">
        <w:t>Signed off by the Corporate Director</w:t>
      </w:r>
    </w:p>
    <w:p w14:paraId="3845BC33" w14:textId="5EFA1763" w:rsidR="008B1E72" w:rsidRDefault="008B1E72" w:rsidP="008B1E72">
      <w:r>
        <w:t xml:space="preserve">Date: </w:t>
      </w:r>
      <w:r w:rsidR="000A24D2">
        <w:t>14</w:t>
      </w:r>
      <w:r>
        <w:t xml:space="preserve"> December 2022</w:t>
      </w:r>
    </w:p>
    <w:p w14:paraId="6651BADB" w14:textId="77777777" w:rsidR="008B1E72" w:rsidRDefault="008B1E72" w:rsidP="008B1E72"/>
    <w:p w14:paraId="687A4497" w14:textId="6B6E06CC" w:rsidR="008B1E72" w:rsidRPr="003D4DB7" w:rsidRDefault="008B1E72" w:rsidP="008B1E72">
      <w:pPr>
        <w:rPr>
          <w:b/>
          <w:bCs/>
        </w:rPr>
      </w:pPr>
      <w:r w:rsidRPr="003D4DB7">
        <w:rPr>
          <w:b/>
          <w:bCs/>
        </w:rPr>
        <w:t>Head of Procurement:</w:t>
      </w:r>
      <w:r w:rsidR="005C545B">
        <w:rPr>
          <w:b/>
          <w:bCs/>
        </w:rPr>
        <w:t xml:space="preserve"> Nimesh Mehta</w:t>
      </w:r>
    </w:p>
    <w:p w14:paraId="35A63750" w14:textId="5F4F2593" w:rsidR="008B1E72" w:rsidRPr="00C10883" w:rsidRDefault="008B1E72" w:rsidP="008B1E72">
      <w:r w:rsidRPr="00C10883">
        <w:t>Signed o</w:t>
      </w:r>
      <w:r w:rsidR="00C10883">
        <w:t>ff</w:t>
      </w:r>
      <w:r w:rsidRPr="00C10883">
        <w:t xml:space="preserve"> by the Head of Procurement</w:t>
      </w:r>
    </w:p>
    <w:p w14:paraId="00383210" w14:textId="6766025B" w:rsidR="008B1E72" w:rsidRDefault="008B1E72" w:rsidP="008B1E72">
      <w:r>
        <w:t xml:space="preserve">Date: </w:t>
      </w:r>
      <w:r w:rsidR="00553B06">
        <w:t>15</w:t>
      </w:r>
      <w:r w:rsidR="00E048A7">
        <w:t xml:space="preserve"> December</w:t>
      </w:r>
      <w:r>
        <w:t xml:space="preserve"> 2022</w:t>
      </w:r>
    </w:p>
    <w:p w14:paraId="06E53C66" w14:textId="77777777" w:rsidR="008B1E72" w:rsidRDefault="008B1E72" w:rsidP="008B1E72"/>
    <w:p w14:paraId="7C9AFC17" w14:textId="61BFF470" w:rsidR="005C545B" w:rsidRDefault="008B1E72" w:rsidP="005C545B">
      <w:pPr>
        <w:rPr>
          <w:b/>
          <w:bCs/>
        </w:rPr>
      </w:pPr>
      <w:r w:rsidRPr="00154C9A">
        <w:rPr>
          <w:b/>
          <w:bCs/>
        </w:rPr>
        <w:t>Head of Internal Audit:</w:t>
      </w:r>
      <w:r w:rsidR="005C545B">
        <w:rPr>
          <w:b/>
          <w:bCs/>
        </w:rPr>
        <w:t xml:space="preserve"> Susan Dixon</w:t>
      </w:r>
    </w:p>
    <w:p w14:paraId="076C046A" w14:textId="6D4D8585" w:rsidR="008B1E72" w:rsidRPr="00C10883" w:rsidRDefault="005C545B" w:rsidP="005C545B">
      <w:r w:rsidRPr="00C10883">
        <w:t>Si</w:t>
      </w:r>
      <w:r w:rsidR="008B1E72" w:rsidRPr="00C10883">
        <w:t xml:space="preserve">gned </w:t>
      </w:r>
      <w:r w:rsidR="00C10883" w:rsidRPr="00C10883">
        <w:t>off</w:t>
      </w:r>
      <w:r w:rsidR="008B1E72" w:rsidRPr="00C10883">
        <w:t xml:space="preserve"> the Head of Internal Audit</w:t>
      </w:r>
    </w:p>
    <w:p w14:paraId="430C97EB" w14:textId="0EAC4F7A" w:rsidR="008B1E72" w:rsidRDefault="008B1E72" w:rsidP="008B1E72">
      <w:r>
        <w:t xml:space="preserve">Date: </w:t>
      </w:r>
      <w:r w:rsidR="0018148F">
        <w:t>19</w:t>
      </w:r>
      <w:r w:rsidR="00E048A7">
        <w:t xml:space="preserve"> December</w:t>
      </w:r>
      <w:r>
        <w:t xml:space="preserve"> 2022</w:t>
      </w:r>
    </w:p>
    <w:p w14:paraId="0371AB5A" w14:textId="3AC75FBB" w:rsidR="00932F77" w:rsidRDefault="00932F77" w:rsidP="008B1E72"/>
    <w:p w14:paraId="4115A23A" w14:textId="6C6250A0" w:rsidR="00932F77" w:rsidRDefault="00932F77" w:rsidP="00932F77">
      <w:pPr>
        <w:spacing w:after="480"/>
        <w:rPr>
          <w:b/>
          <w:bCs/>
        </w:rPr>
      </w:pPr>
      <w:r>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Pr>
          <w:b/>
          <w:bCs/>
          <w:sz w:val="28"/>
        </w:rPr>
        <w:t xml:space="preserve">       </w:t>
      </w:r>
    </w:p>
    <w:p w14:paraId="22A5AFAD" w14:textId="77777777" w:rsidR="00AD1865" w:rsidRPr="00435B5D" w:rsidRDefault="00AD1865" w:rsidP="00AD1865">
      <w:pPr>
        <w:pStyle w:val="Heading2"/>
        <w:spacing w:before="480" w:after="240"/>
      </w:pPr>
      <w:r>
        <w:t>Mandatory Checks</w:t>
      </w:r>
    </w:p>
    <w:p w14:paraId="49514DB3" w14:textId="77777777" w:rsidR="00AD1865" w:rsidRPr="00A406F3" w:rsidRDefault="00AD1865" w:rsidP="00AD1865">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6438B98E" w14:textId="7485D1B0" w:rsidR="00AD1865" w:rsidRPr="00C10883" w:rsidRDefault="00AD1865" w:rsidP="00C10883">
      <w:pPr>
        <w:pStyle w:val="Heading3"/>
        <w:spacing w:before="240"/>
        <w:rPr>
          <w:b w:val="0"/>
          <w:bCs w:val="0"/>
        </w:rPr>
      </w:pPr>
      <w:r w:rsidRPr="00202D79">
        <w:t>EqIA carried out:</w:t>
      </w:r>
      <w:r>
        <w:t xml:space="preserve">  </w:t>
      </w:r>
      <w:r w:rsidRPr="00C10883">
        <w:rPr>
          <w:b w:val="0"/>
          <w:bCs w:val="0"/>
        </w:rPr>
        <w:t>NO</w:t>
      </w:r>
      <w:r w:rsidR="00C10883" w:rsidRPr="00C10883">
        <w:rPr>
          <w:b w:val="0"/>
          <w:bCs w:val="0"/>
        </w:rPr>
        <w:t>, this</w:t>
      </w:r>
      <w:r w:rsidRPr="00C10883">
        <w:rPr>
          <w:b w:val="0"/>
          <w:bCs w:val="0"/>
        </w:rPr>
        <w:t xml:space="preserve"> is a technical financial report which does not require an EqIA.</w:t>
      </w:r>
    </w:p>
    <w:p w14:paraId="204DBC59" w14:textId="77777777" w:rsidR="00AD1865" w:rsidRPr="00C10883" w:rsidRDefault="00AD1865" w:rsidP="00AD1865">
      <w:pPr>
        <w:pStyle w:val="Heading3"/>
        <w:spacing w:before="240"/>
        <w:jc w:val="left"/>
        <w:rPr>
          <w:b w:val="0"/>
          <w:bCs w:val="0"/>
          <w:color w:val="FF0000"/>
        </w:rPr>
      </w:pPr>
      <w:r w:rsidRPr="00202D79">
        <w:t>EqIA cleared by:</w:t>
      </w:r>
      <w:r>
        <w:t xml:space="preserve">  </w:t>
      </w:r>
      <w:r w:rsidRPr="00C10883">
        <w:rPr>
          <w:b w:val="0"/>
          <w:bCs w:val="0"/>
        </w:rPr>
        <w:t>N/A</w:t>
      </w:r>
    </w:p>
    <w:p w14:paraId="613F6BFC" w14:textId="77777777" w:rsidR="00AD1865" w:rsidRPr="004B6007" w:rsidRDefault="00AD1865" w:rsidP="00AD1865">
      <w:pPr>
        <w:rPr>
          <w:b/>
          <w:sz w:val="28"/>
        </w:rPr>
      </w:pPr>
    </w:p>
    <w:p w14:paraId="591E9197" w14:textId="77777777" w:rsidR="00AD1865" w:rsidRDefault="00AD1865" w:rsidP="00AD1865"/>
    <w:p w14:paraId="04C42F0B" w14:textId="77777777" w:rsidR="00AD1865" w:rsidRDefault="00AD1865" w:rsidP="00AD1865">
      <w:pPr>
        <w:pStyle w:val="Heading1"/>
        <w:keepNext/>
      </w:pPr>
      <w:r>
        <w:lastRenderedPageBreak/>
        <w:t>Section 4 - Contact Details and Background Papers</w:t>
      </w:r>
    </w:p>
    <w:p w14:paraId="754D5CA9" w14:textId="77777777" w:rsidR="00AD1865" w:rsidRDefault="00AD1865" w:rsidP="00AD1865">
      <w:pPr>
        <w:keepNext/>
        <w:rPr>
          <w:rFonts w:cs="Arial"/>
        </w:rPr>
      </w:pPr>
    </w:p>
    <w:p w14:paraId="7946A70C" w14:textId="773B8C22" w:rsidR="00AD1865" w:rsidRPr="009444F5" w:rsidRDefault="00AD1865" w:rsidP="00C10883">
      <w:pPr>
        <w:tabs>
          <w:tab w:val="left" w:pos="1418"/>
          <w:tab w:val="left" w:pos="1560"/>
          <w:tab w:val="left" w:pos="7106"/>
          <w:tab w:val="left" w:pos="8976"/>
        </w:tabs>
        <w:ind w:right="257"/>
        <w:rPr>
          <w:rFonts w:cs="Arial"/>
          <w:lang w:val="fr-FR"/>
        </w:rPr>
      </w:pPr>
      <w:r w:rsidRPr="002D0E5E">
        <w:rPr>
          <w:b/>
          <w:sz w:val="28"/>
        </w:rPr>
        <w:t xml:space="preserve">Contact:  </w:t>
      </w:r>
      <w:r w:rsidRPr="002D0E5E">
        <w:rPr>
          <w:rFonts w:cs="Arial"/>
        </w:rPr>
        <w:t>Fern Silverio (Head of Service – Collections &amp; Housing Benefits),</w:t>
      </w:r>
      <w:r w:rsidR="00C10883">
        <w:rPr>
          <w:rFonts w:cs="Arial"/>
        </w:rPr>
        <w:t xml:space="preserve"> </w:t>
      </w:r>
      <w:r w:rsidRPr="009444F5">
        <w:rPr>
          <w:rFonts w:cs="Arial"/>
          <w:lang w:val="fr-FR"/>
        </w:rPr>
        <w:t xml:space="preserve">Tel: 020-8736-6818 / email: </w:t>
      </w:r>
      <w:hyperlink r:id="rId14" w:history="1">
        <w:r w:rsidRPr="009444F5">
          <w:rPr>
            <w:rFonts w:cs="Arial"/>
            <w:color w:val="0000FF"/>
            <w:u w:val="single"/>
            <w:lang w:val="fr-FR"/>
          </w:rPr>
          <w:t>fern.silverio@harrow.gov.uk</w:t>
        </w:r>
      </w:hyperlink>
    </w:p>
    <w:p w14:paraId="268373AB" w14:textId="77777777" w:rsidR="00AD1865" w:rsidRPr="009444F5" w:rsidRDefault="00AD1865" w:rsidP="00AD1865">
      <w:pPr>
        <w:pStyle w:val="Infotext"/>
        <w:rPr>
          <w:b/>
          <w:lang w:val="fr-FR"/>
        </w:rPr>
      </w:pPr>
    </w:p>
    <w:p w14:paraId="1BF927C9" w14:textId="77777777" w:rsidR="00AD1865" w:rsidRPr="002D0E5E" w:rsidRDefault="00AD1865" w:rsidP="00AD1865">
      <w:pPr>
        <w:rPr>
          <w:color w:val="FF0000"/>
          <w:sz w:val="28"/>
        </w:rPr>
      </w:pPr>
      <w:r w:rsidRPr="002D0E5E">
        <w:rPr>
          <w:b/>
          <w:sz w:val="28"/>
        </w:rPr>
        <w:t xml:space="preserve">Background Papers:  </w:t>
      </w:r>
    </w:p>
    <w:p w14:paraId="40781A7E" w14:textId="77777777" w:rsidR="00AD1865" w:rsidRPr="002D0E5E" w:rsidRDefault="00AD1865" w:rsidP="00AD1865">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5" w:history="1">
        <w:r w:rsidRPr="00416A2A">
          <w:rPr>
            <w:rStyle w:val="Hyperlink"/>
            <w:rFonts w:cs="Arial"/>
            <w:szCs w:val="24"/>
          </w:rPr>
          <w:t>http://www.legislation.gov.uk/ukpga/1992/14/contents</w:t>
        </w:r>
      </w:hyperlink>
      <w:r>
        <w:rPr>
          <w:rFonts w:cs="Arial"/>
          <w:szCs w:val="24"/>
        </w:rPr>
        <w:t xml:space="preserve"> </w:t>
      </w:r>
    </w:p>
    <w:p w14:paraId="5A9D30C2" w14:textId="77777777" w:rsidR="00AD1865" w:rsidRPr="00B679E6" w:rsidRDefault="00AD1865" w:rsidP="00AD1865">
      <w:pPr>
        <w:numPr>
          <w:ilvl w:val="0"/>
          <w:numId w:val="6"/>
        </w:numPr>
        <w:tabs>
          <w:tab w:val="left" w:pos="8976"/>
        </w:tabs>
        <w:ind w:right="257"/>
        <w:rPr>
          <w:rFonts w:cs="Arial"/>
          <w:szCs w:val="24"/>
        </w:rPr>
      </w:pPr>
      <w:r w:rsidRPr="002D0E5E">
        <w:rPr>
          <w:rFonts w:cs="Arial"/>
          <w:szCs w:val="24"/>
        </w:rPr>
        <w:t xml:space="preserve">The Non-Domestic Rating (Rates Retention) Regulations 2013 </w:t>
      </w:r>
      <w:hyperlink r:id="rId16" w:history="1">
        <w:r w:rsidRPr="002D0E5E">
          <w:rPr>
            <w:rFonts w:cs="Arial"/>
            <w:color w:val="0000FF"/>
            <w:szCs w:val="24"/>
            <w:u w:val="single"/>
          </w:rPr>
          <w:t>http://www.legislation.gov.uk/ukdsi/2013/9780111532959/contents</w:t>
        </w:r>
      </w:hyperlink>
    </w:p>
    <w:p w14:paraId="5B646C46" w14:textId="77777777" w:rsidR="00AD1865" w:rsidRDefault="00AD1865" w:rsidP="00AD1865">
      <w:pPr>
        <w:tabs>
          <w:tab w:val="left" w:pos="8976"/>
        </w:tabs>
        <w:ind w:right="257"/>
        <w:rPr>
          <w:rFonts w:cs="Arial"/>
          <w:color w:val="0000FF"/>
          <w:szCs w:val="24"/>
          <w:u w:val="single"/>
        </w:rPr>
      </w:pPr>
    </w:p>
    <w:p w14:paraId="592726D7" w14:textId="77777777" w:rsidR="00DD3E6B" w:rsidRDefault="00DD3E6B" w:rsidP="0055094F">
      <w:pPr>
        <w:pStyle w:val="Infotext"/>
        <w:rPr>
          <w:rFonts w:ascii="Arial Black" w:hAnsi="Arial Black"/>
        </w:rPr>
      </w:pPr>
    </w:p>
    <w:p w14:paraId="65CDF02E" w14:textId="334E155B" w:rsidR="00AD1865" w:rsidRPr="007C0DC3" w:rsidRDefault="00AD1865" w:rsidP="0055094F">
      <w:pPr>
        <w:pStyle w:val="Infotext"/>
        <w:rPr>
          <w:rFonts w:ascii="Arial Black" w:hAnsi="Arial Black"/>
        </w:rPr>
      </w:pPr>
      <w:r>
        <w:rPr>
          <w:rFonts w:ascii="Arial Black" w:hAnsi="Arial Black"/>
        </w:rPr>
        <w:t>Call-in w</w:t>
      </w:r>
      <w:r w:rsidRPr="007C0DC3">
        <w:rPr>
          <w:rFonts w:ascii="Arial Black" w:hAnsi="Arial Black"/>
        </w:rPr>
        <w:t>aived by the Chair of Overview and Scrutiny Committee</w:t>
      </w:r>
      <w:r w:rsidR="00C10883">
        <w:rPr>
          <w:rFonts w:ascii="Arial Black" w:hAnsi="Arial Black"/>
        </w:rPr>
        <w:t xml:space="preserve"> - NO</w:t>
      </w:r>
    </w:p>
    <w:p w14:paraId="3A349311" w14:textId="77777777" w:rsidR="00AD1865" w:rsidRPr="002D0E5E" w:rsidRDefault="00AD1865" w:rsidP="00AD1865">
      <w:pPr>
        <w:tabs>
          <w:tab w:val="left" w:pos="8976"/>
        </w:tabs>
        <w:ind w:right="257"/>
        <w:rPr>
          <w:rFonts w:cs="Arial"/>
          <w:szCs w:val="24"/>
        </w:rPr>
      </w:pPr>
    </w:p>
    <w:p w14:paraId="4B948536" w14:textId="77777777" w:rsidR="001A1BBB" w:rsidRPr="00E521D9" w:rsidRDefault="001A1BBB" w:rsidP="001A1BBB"/>
    <w:sectPr w:rsidR="001A1BBB" w:rsidRPr="00E521D9"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27D8" w14:textId="77777777" w:rsidR="00CE5688" w:rsidRDefault="00CE5688">
      <w:r>
        <w:separator/>
      </w:r>
    </w:p>
  </w:endnote>
  <w:endnote w:type="continuationSeparator" w:id="0">
    <w:p w14:paraId="21BA0C2F" w14:textId="77777777" w:rsidR="00CE5688" w:rsidRDefault="00CE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3256" w14:textId="77777777" w:rsidR="00CE5688" w:rsidRDefault="00CE5688">
      <w:r>
        <w:separator/>
      </w:r>
    </w:p>
  </w:footnote>
  <w:footnote w:type="continuationSeparator" w:id="0">
    <w:p w14:paraId="34537791" w14:textId="77777777" w:rsidR="00CE5688" w:rsidRDefault="00CE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49A"/>
    <w:multiLevelType w:val="hybridMultilevel"/>
    <w:tmpl w:val="B0986A3E"/>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FE201D3"/>
    <w:multiLevelType w:val="multilevel"/>
    <w:tmpl w:val="6520E7D8"/>
    <w:lvl w:ilvl="0">
      <w:start w:val="1"/>
      <w:numFmt w:val="decimal"/>
      <w:lvlText w:val="%1."/>
      <w:lvlJc w:val="left"/>
      <w:pPr>
        <w:ind w:left="360" w:hanging="360"/>
      </w:pPr>
      <w:rPr>
        <w:rFonts w:cs="Times New Roman"/>
      </w:rPr>
    </w:lvl>
    <w:lvl w:ilvl="1">
      <w:start w:val="5"/>
      <w:numFmt w:val="decimal"/>
      <w:isLgl/>
      <w:lvlText w:val="%1.%2"/>
      <w:lvlJc w:val="left"/>
      <w:pPr>
        <w:ind w:left="405" w:hanging="405"/>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2" w15:restartNumberingAfterBreak="0">
    <w:nsid w:val="1402538F"/>
    <w:multiLevelType w:val="hybridMultilevel"/>
    <w:tmpl w:val="DFD448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E7BE0"/>
    <w:multiLevelType w:val="hybridMultilevel"/>
    <w:tmpl w:val="148A3818"/>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15:restartNumberingAfterBreak="0">
    <w:nsid w:val="18534D75"/>
    <w:multiLevelType w:val="hybridMultilevel"/>
    <w:tmpl w:val="EF2E66BA"/>
    <w:lvl w:ilvl="0" w:tplc="E2FA5492">
      <w:start w:val="3"/>
      <w:numFmt w:val="lowerLetter"/>
      <w:lvlText w:val="(%1)"/>
      <w:lvlJc w:val="left"/>
      <w:pPr>
        <w:tabs>
          <w:tab w:val="num" w:pos="720"/>
        </w:tabs>
        <w:ind w:left="720" w:hanging="390"/>
      </w:pPr>
      <w:rPr>
        <w:rFonts w:cs="Times New Roman" w:hint="default"/>
      </w:rPr>
    </w:lvl>
    <w:lvl w:ilvl="1" w:tplc="04090019" w:tentative="1">
      <w:start w:val="1"/>
      <w:numFmt w:val="lowerLetter"/>
      <w:lvlText w:val="%2."/>
      <w:lvlJc w:val="left"/>
      <w:pPr>
        <w:tabs>
          <w:tab w:val="num" w:pos="1410"/>
        </w:tabs>
        <w:ind w:left="1410" w:hanging="360"/>
      </w:pPr>
      <w:rPr>
        <w:rFonts w:cs="Times New Roman"/>
      </w:rPr>
    </w:lvl>
    <w:lvl w:ilvl="2" w:tplc="0409001B" w:tentative="1">
      <w:start w:val="1"/>
      <w:numFmt w:val="lowerRoman"/>
      <w:lvlText w:val="%3."/>
      <w:lvlJc w:val="right"/>
      <w:pPr>
        <w:tabs>
          <w:tab w:val="num" w:pos="2130"/>
        </w:tabs>
        <w:ind w:left="2130" w:hanging="180"/>
      </w:pPr>
      <w:rPr>
        <w:rFonts w:cs="Times New Roman"/>
      </w:rPr>
    </w:lvl>
    <w:lvl w:ilvl="3" w:tplc="0409000F" w:tentative="1">
      <w:start w:val="1"/>
      <w:numFmt w:val="decimal"/>
      <w:lvlText w:val="%4."/>
      <w:lvlJc w:val="left"/>
      <w:pPr>
        <w:tabs>
          <w:tab w:val="num" w:pos="2850"/>
        </w:tabs>
        <w:ind w:left="2850" w:hanging="360"/>
      </w:pPr>
      <w:rPr>
        <w:rFonts w:cs="Times New Roman"/>
      </w:rPr>
    </w:lvl>
    <w:lvl w:ilvl="4" w:tplc="04090019" w:tentative="1">
      <w:start w:val="1"/>
      <w:numFmt w:val="lowerLetter"/>
      <w:lvlText w:val="%5."/>
      <w:lvlJc w:val="left"/>
      <w:pPr>
        <w:tabs>
          <w:tab w:val="num" w:pos="3570"/>
        </w:tabs>
        <w:ind w:left="3570" w:hanging="360"/>
      </w:pPr>
      <w:rPr>
        <w:rFonts w:cs="Times New Roman"/>
      </w:rPr>
    </w:lvl>
    <w:lvl w:ilvl="5" w:tplc="0409001B" w:tentative="1">
      <w:start w:val="1"/>
      <w:numFmt w:val="lowerRoman"/>
      <w:lvlText w:val="%6."/>
      <w:lvlJc w:val="right"/>
      <w:pPr>
        <w:tabs>
          <w:tab w:val="num" w:pos="4290"/>
        </w:tabs>
        <w:ind w:left="4290" w:hanging="180"/>
      </w:pPr>
      <w:rPr>
        <w:rFonts w:cs="Times New Roman"/>
      </w:rPr>
    </w:lvl>
    <w:lvl w:ilvl="6" w:tplc="0409000F" w:tentative="1">
      <w:start w:val="1"/>
      <w:numFmt w:val="decimal"/>
      <w:lvlText w:val="%7."/>
      <w:lvlJc w:val="left"/>
      <w:pPr>
        <w:tabs>
          <w:tab w:val="num" w:pos="5010"/>
        </w:tabs>
        <w:ind w:left="5010" w:hanging="360"/>
      </w:pPr>
      <w:rPr>
        <w:rFonts w:cs="Times New Roman"/>
      </w:rPr>
    </w:lvl>
    <w:lvl w:ilvl="7" w:tplc="04090019" w:tentative="1">
      <w:start w:val="1"/>
      <w:numFmt w:val="lowerLetter"/>
      <w:lvlText w:val="%8."/>
      <w:lvlJc w:val="left"/>
      <w:pPr>
        <w:tabs>
          <w:tab w:val="num" w:pos="5730"/>
        </w:tabs>
        <w:ind w:left="5730" w:hanging="360"/>
      </w:pPr>
      <w:rPr>
        <w:rFonts w:cs="Times New Roman"/>
      </w:rPr>
    </w:lvl>
    <w:lvl w:ilvl="8" w:tplc="0409001B" w:tentative="1">
      <w:start w:val="1"/>
      <w:numFmt w:val="lowerRoman"/>
      <w:lvlText w:val="%9."/>
      <w:lvlJc w:val="right"/>
      <w:pPr>
        <w:tabs>
          <w:tab w:val="num" w:pos="6450"/>
        </w:tabs>
        <w:ind w:left="6450" w:hanging="180"/>
      </w:pPr>
      <w:rPr>
        <w:rFonts w:cs="Times New Roman"/>
      </w:rPr>
    </w:lvl>
  </w:abstractNum>
  <w:abstractNum w:abstractNumId="5" w15:restartNumberingAfterBreak="0">
    <w:nsid w:val="1AF02549"/>
    <w:multiLevelType w:val="hybridMultilevel"/>
    <w:tmpl w:val="4E78B850"/>
    <w:lvl w:ilvl="0" w:tplc="DAB862D8">
      <w:numFmt w:val="bullet"/>
      <w:lvlText w:val="•"/>
      <w:lvlJc w:val="left"/>
      <w:pPr>
        <w:ind w:left="1080" w:hanging="360"/>
      </w:pPr>
      <w:rPr>
        <w:rFonts w:ascii="Arial" w:eastAsia="Times New Roman" w:hAnsi="Aria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075393"/>
    <w:multiLevelType w:val="multilevel"/>
    <w:tmpl w:val="E2E067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26A741C"/>
    <w:multiLevelType w:val="multilevel"/>
    <w:tmpl w:val="9CAAA0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B86619"/>
    <w:multiLevelType w:val="hybridMultilevel"/>
    <w:tmpl w:val="846ED508"/>
    <w:lvl w:ilvl="0" w:tplc="0809000F">
      <w:start w:val="1"/>
      <w:numFmt w:val="decimal"/>
      <w:lvlText w:val="%1."/>
      <w:lvlJc w:val="left"/>
      <w:pPr>
        <w:ind w:left="1352"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93571"/>
    <w:multiLevelType w:val="hybridMultilevel"/>
    <w:tmpl w:val="BF06E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754FB7"/>
    <w:multiLevelType w:val="hybridMultilevel"/>
    <w:tmpl w:val="7F9043FA"/>
    <w:lvl w:ilvl="0" w:tplc="0409000F">
      <w:start w:val="1"/>
      <w:numFmt w:val="decimal"/>
      <w:lvlText w:val="%1."/>
      <w:lvlJc w:val="left"/>
      <w:pPr>
        <w:tabs>
          <w:tab w:val="num" w:pos="1800"/>
        </w:tabs>
        <w:ind w:left="1800" w:hanging="360"/>
      </w:pPr>
      <w:rPr>
        <w:rFonts w:cs="Times New Roman"/>
      </w:rPr>
    </w:lvl>
    <w:lvl w:ilvl="1" w:tplc="E3B63D3C">
      <w:start w:val="2"/>
      <w:numFmt w:val="decimal"/>
      <w:lvlText w:val="15.%2"/>
      <w:lvlJc w:val="left"/>
      <w:pPr>
        <w:tabs>
          <w:tab w:val="num" w:pos="2897"/>
        </w:tabs>
        <w:ind w:left="2897" w:hanging="737"/>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1837E4"/>
    <w:multiLevelType w:val="multilevel"/>
    <w:tmpl w:val="C36A2FD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3AE4CB7"/>
    <w:multiLevelType w:val="hybridMultilevel"/>
    <w:tmpl w:val="85B0201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7" w15:restartNumberingAfterBreak="0">
    <w:nsid w:val="65C91298"/>
    <w:multiLevelType w:val="hybridMultilevel"/>
    <w:tmpl w:val="CE40F2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A2202"/>
    <w:multiLevelType w:val="multilevel"/>
    <w:tmpl w:val="B1E403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AA02A07"/>
    <w:multiLevelType w:val="hybridMultilevel"/>
    <w:tmpl w:val="4B14A342"/>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21"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9C3243"/>
    <w:multiLevelType w:val="hybridMultilevel"/>
    <w:tmpl w:val="EC7859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DA90190"/>
    <w:multiLevelType w:val="hybridMultilevel"/>
    <w:tmpl w:val="D5581512"/>
    <w:lvl w:ilvl="0" w:tplc="81F660A2">
      <w:start w:val="1"/>
      <w:numFmt w:val="lowerRoman"/>
      <w:lvlText w:val="%1."/>
      <w:lvlJc w:val="left"/>
      <w:pPr>
        <w:tabs>
          <w:tab w:val="num" w:pos="1080"/>
        </w:tabs>
        <w:ind w:left="1080" w:hanging="360"/>
      </w:pPr>
      <w:rPr>
        <w:rFonts w:cs="Times New Roman" w:hint="default"/>
      </w:rPr>
    </w:lvl>
    <w:lvl w:ilvl="1" w:tplc="CA48C81C">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13"/>
  </w:num>
  <w:num w:numId="2">
    <w:abstractNumId w:val="19"/>
  </w:num>
  <w:num w:numId="3">
    <w:abstractNumId w:val="15"/>
  </w:num>
  <w:num w:numId="4">
    <w:abstractNumId w:val="12"/>
  </w:num>
  <w:num w:numId="5">
    <w:abstractNumId w:val="24"/>
  </w:num>
  <w:num w:numId="6">
    <w:abstractNumId w:val="9"/>
  </w:num>
  <w:num w:numId="7">
    <w:abstractNumId w:val="4"/>
  </w:num>
  <w:num w:numId="8">
    <w:abstractNumId w:val="6"/>
  </w:num>
  <w:num w:numId="9">
    <w:abstractNumId w:val="1"/>
  </w:num>
  <w:num w:numId="10">
    <w:abstractNumId w:val="20"/>
  </w:num>
  <w:num w:numId="11">
    <w:abstractNumId w:val="16"/>
  </w:num>
  <w:num w:numId="12">
    <w:abstractNumId w:val="22"/>
  </w:num>
  <w:num w:numId="13">
    <w:abstractNumId w:val="21"/>
  </w:num>
  <w:num w:numId="14">
    <w:abstractNumId w:val="10"/>
  </w:num>
  <w:num w:numId="15">
    <w:abstractNumId w:val="7"/>
  </w:num>
  <w:num w:numId="16">
    <w:abstractNumId w:val="8"/>
  </w:num>
  <w:num w:numId="17">
    <w:abstractNumId w:val="5"/>
  </w:num>
  <w:num w:numId="18">
    <w:abstractNumId w:val="11"/>
  </w:num>
  <w:num w:numId="19">
    <w:abstractNumId w:val="0"/>
  </w:num>
  <w:num w:numId="20">
    <w:abstractNumId w:val="23"/>
  </w:num>
  <w:num w:numId="21">
    <w:abstractNumId w:val="2"/>
  </w:num>
  <w:num w:numId="22">
    <w:abstractNumId w:val="17"/>
  </w:num>
  <w:num w:numId="23">
    <w:abstractNumId w:val="18"/>
  </w:num>
  <w:num w:numId="24">
    <w:abstractNumId w:val="14"/>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F04"/>
    <w:rsid w:val="00007F2A"/>
    <w:rsid w:val="00011FAB"/>
    <w:rsid w:val="00025892"/>
    <w:rsid w:val="00025D7B"/>
    <w:rsid w:val="00034B8B"/>
    <w:rsid w:val="00035F59"/>
    <w:rsid w:val="00036959"/>
    <w:rsid w:val="0004029A"/>
    <w:rsid w:val="00047A48"/>
    <w:rsid w:val="000516A3"/>
    <w:rsid w:val="00057B25"/>
    <w:rsid w:val="0006034E"/>
    <w:rsid w:val="00063783"/>
    <w:rsid w:val="0006396D"/>
    <w:rsid w:val="00067211"/>
    <w:rsid w:val="00067C65"/>
    <w:rsid w:val="000714C1"/>
    <w:rsid w:val="00073765"/>
    <w:rsid w:val="00081C68"/>
    <w:rsid w:val="000835C0"/>
    <w:rsid w:val="00083C3B"/>
    <w:rsid w:val="00085670"/>
    <w:rsid w:val="00085DA3"/>
    <w:rsid w:val="000866B5"/>
    <w:rsid w:val="00090FCB"/>
    <w:rsid w:val="000929A6"/>
    <w:rsid w:val="00095EF2"/>
    <w:rsid w:val="000975A0"/>
    <w:rsid w:val="000A24D2"/>
    <w:rsid w:val="000B1CDB"/>
    <w:rsid w:val="000B5015"/>
    <w:rsid w:val="000B5BE9"/>
    <w:rsid w:val="000B788F"/>
    <w:rsid w:val="000C07BD"/>
    <w:rsid w:val="000C0A26"/>
    <w:rsid w:val="000C24A1"/>
    <w:rsid w:val="000C4790"/>
    <w:rsid w:val="000C5351"/>
    <w:rsid w:val="000C635D"/>
    <w:rsid w:val="000D0F8C"/>
    <w:rsid w:val="000D4E36"/>
    <w:rsid w:val="000D6F43"/>
    <w:rsid w:val="000E62FE"/>
    <w:rsid w:val="000E726E"/>
    <w:rsid w:val="000F3694"/>
    <w:rsid w:val="000F4BF5"/>
    <w:rsid w:val="00105031"/>
    <w:rsid w:val="00112FF1"/>
    <w:rsid w:val="00113B35"/>
    <w:rsid w:val="00113E20"/>
    <w:rsid w:val="001161E4"/>
    <w:rsid w:val="00120174"/>
    <w:rsid w:val="00121ED1"/>
    <w:rsid w:val="00124D6F"/>
    <w:rsid w:val="00124F2C"/>
    <w:rsid w:val="0012513E"/>
    <w:rsid w:val="00125A26"/>
    <w:rsid w:val="00133AD3"/>
    <w:rsid w:val="00135422"/>
    <w:rsid w:val="00137889"/>
    <w:rsid w:val="00137AAE"/>
    <w:rsid w:val="00143E98"/>
    <w:rsid w:val="00146837"/>
    <w:rsid w:val="001528BB"/>
    <w:rsid w:val="0015376F"/>
    <w:rsid w:val="001614E0"/>
    <w:rsid w:val="00162430"/>
    <w:rsid w:val="00164902"/>
    <w:rsid w:val="001678AB"/>
    <w:rsid w:val="00171BD8"/>
    <w:rsid w:val="00173A50"/>
    <w:rsid w:val="0017653E"/>
    <w:rsid w:val="00176A1E"/>
    <w:rsid w:val="00176F33"/>
    <w:rsid w:val="0018148F"/>
    <w:rsid w:val="00181EC0"/>
    <w:rsid w:val="00182B01"/>
    <w:rsid w:val="001831AE"/>
    <w:rsid w:val="001838D4"/>
    <w:rsid w:val="001840D2"/>
    <w:rsid w:val="001872FF"/>
    <w:rsid w:val="0018793F"/>
    <w:rsid w:val="001942C4"/>
    <w:rsid w:val="001966D7"/>
    <w:rsid w:val="001976AE"/>
    <w:rsid w:val="001A1BBB"/>
    <w:rsid w:val="001A37A8"/>
    <w:rsid w:val="001A60A8"/>
    <w:rsid w:val="001B1DFE"/>
    <w:rsid w:val="001B1EAC"/>
    <w:rsid w:val="001B3577"/>
    <w:rsid w:val="001B3A29"/>
    <w:rsid w:val="001B4082"/>
    <w:rsid w:val="001B53D6"/>
    <w:rsid w:val="001B62BD"/>
    <w:rsid w:val="001C1E1B"/>
    <w:rsid w:val="001C4D2E"/>
    <w:rsid w:val="001C5246"/>
    <w:rsid w:val="001C5A86"/>
    <w:rsid w:val="001C7E35"/>
    <w:rsid w:val="001D0759"/>
    <w:rsid w:val="001D19F8"/>
    <w:rsid w:val="001D4DF5"/>
    <w:rsid w:val="001E1072"/>
    <w:rsid w:val="001E3C06"/>
    <w:rsid w:val="001F0037"/>
    <w:rsid w:val="001F0BE9"/>
    <w:rsid w:val="001F468A"/>
    <w:rsid w:val="001F5302"/>
    <w:rsid w:val="001F76F2"/>
    <w:rsid w:val="00202B7B"/>
    <w:rsid w:val="00202D79"/>
    <w:rsid w:val="00205D2F"/>
    <w:rsid w:val="00215295"/>
    <w:rsid w:val="0021559B"/>
    <w:rsid w:val="00215E8F"/>
    <w:rsid w:val="00225C05"/>
    <w:rsid w:val="0022764D"/>
    <w:rsid w:val="002277C2"/>
    <w:rsid w:val="002322BB"/>
    <w:rsid w:val="00246122"/>
    <w:rsid w:val="0024631E"/>
    <w:rsid w:val="00251254"/>
    <w:rsid w:val="00253B49"/>
    <w:rsid w:val="0025449D"/>
    <w:rsid w:val="002544A5"/>
    <w:rsid w:val="002548D1"/>
    <w:rsid w:val="0026024D"/>
    <w:rsid w:val="0026256F"/>
    <w:rsid w:val="00271734"/>
    <w:rsid w:val="0027283B"/>
    <w:rsid w:val="00277E40"/>
    <w:rsid w:val="0028019B"/>
    <w:rsid w:val="00282976"/>
    <w:rsid w:val="00283CAB"/>
    <w:rsid w:val="0028539A"/>
    <w:rsid w:val="00285533"/>
    <w:rsid w:val="002940BB"/>
    <w:rsid w:val="002A0013"/>
    <w:rsid w:val="002A3FEF"/>
    <w:rsid w:val="002B54A6"/>
    <w:rsid w:val="002B6189"/>
    <w:rsid w:val="002D0E5E"/>
    <w:rsid w:val="002D2F40"/>
    <w:rsid w:val="002D65E7"/>
    <w:rsid w:val="002D6C86"/>
    <w:rsid w:val="002E1D3B"/>
    <w:rsid w:val="002E5C11"/>
    <w:rsid w:val="002E6E35"/>
    <w:rsid w:val="002F3EE9"/>
    <w:rsid w:val="003063E5"/>
    <w:rsid w:val="00306E48"/>
    <w:rsid w:val="00307F76"/>
    <w:rsid w:val="00312D65"/>
    <w:rsid w:val="0031357C"/>
    <w:rsid w:val="00315B44"/>
    <w:rsid w:val="00321FBB"/>
    <w:rsid w:val="00323544"/>
    <w:rsid w:val="0032358F"/>
    <w:rsid w:val="0032438D"/>
    <w:rsid w:val="0032562D"/>
    <w:rsid w:val="00333FAA"/>
    <w:rsid w:val="003355D7"/>
    <w:rsid w:val="00335E96"/>
    <w:rsid w:val="00336026"/>
    <w:rsid w:val="003365A1"/>
    <w:rsid w:val="00340679"/>
    <w:rsid w:val="00346A85"/>
    <w:rsid w:val="00350173"/>
    <w:rsid w:val="003507C9"/>
    <w:rsid w:val="00355CCA"/>
    <w:rsid w:val="00356650"/>
    <w:rsid w:val="0036201C"/>
    <w:rsid w:val="0036465E"/>
    <w:rsid w:val="00371179"/>
    <w:rsid w:val="003749B7"/>
    <w:rsid w:val="00376768"/>
    <w:rsid w:val="00376D7C"/>
    <w:rsid w:val="00382527"/>
    <w:rsid w:val="00391D91"/>
    <w:rsid w:val="003B1258"/>
    <w:rsid w:val="003B213F"/>
    <w:rsid w:val="003B2AF2"/>
    <w:rsid w:val="003B6A4E"/>
    <w:rsid w:val="003C18A6"/>
    <w:rsid w:val="003D219E"/>
    <w:rsid w:val="003D2A30"/>
    <w:rsid w:val="003D37D4"/>
    <w:rsid w:val="003D5EB5"/>
    <w:rsid w:val="003E3146"/>
    <w:rsid w:val="003F0F24"/>
    <w:rsid w:val="003F3AFD"/>
    <w:rsid w:val="003F533C"/>
    <w:rsid w:val="003F7FD1"/>
    <w:rsid w:val="004054EA"/>
    <w:rsid w:val="004076C8"/>
    <w:rsid w:val="0041127B"/>
    <w:rsid w:val="00412352"/>
    <w:rsid w:val="00415055"/>
    <w:rsid w:val="0042012A"/>
    <w:rsid w:val="004207E3"/>
    <w:rsid w:val="00421A4C"/>
    <w:rsid w:val="00422C05"/>
    <w:rsid w:val="004238C2"/>
    <w:rsid w:val="0042465B"/>
    <w:rsid w:val="00426CB4"/>
    <w:rsid w:val="0043362A"/>
    <w:rsid w:val="00435B5D"/>
    <w:rsid w:val="004363F7"/>
    <w:rsid w:val="004370DA"/>
    <w:rsid w:val="00440676"/>
    <w:rsid w:val="00443504"/>
    <w:rsid w:val="0044525C"/>
    <w:rsid w:val="00446920"/>
    <w:rsid w:val="00453C9D"/>
    <w:rsid w:val="004553F1"/>
    <w:rsid w:val="00463696"/>
    <w:rsid w:val="00466BD3"/>
    <w:rsid w:val="00467645"/>
    <w:rsid w:val="00471C1F"/>
    <w:rsid w:val="004809FA"/>
    <w:rsid w:val="00483918"/>
    <w:rsid w:val="00484E5F"/>
    <w:rsid w:val="00490BC8"/>
    <w:rsid w:val="00490DD1"/>
    <w:rsid w:val="00495324"/>
    <w:rsid w:val="004A2EE1"/>
    <w:rsid w:val="004B31B3"/>
    <w:rsid w:val="004B3637"/>
    <w:rsid w:val="004B425F"/>
    <w:rsid w:val="004B4BEB"/>
    <w:rsid w:val="004C1920"/>
    <w:rsid w:val="004C1E62"/>
    <w:rsid w:val="004C43E5"/>
    <w:rsid w:val="004C4A75"/>
    <w:rsid w:val="004C6F3C"/>
    <w:rsid w:val="004D2DA0"/>
    <w:rsid w:val="004D3470"/>
    <w:rsid w:val="004D7834"/>
    <w:rsid w:val="004E14A4"/>
    <w:rsid w:val="004E7CDD"/>
    <w:rsid w:val="004F3C35"/>
    <w:rsid w:val="004F4CA2"/>
    <w:rsid w:val="004F54BD"/>
    <w:rsid w:val="004F56C5"/>
    <w:rsid w:val="00504012"/>
    <w:rsid w:val="00505695"/>
    <w:rsid w:val="00511E12"/>
    <w:rsid w:val="00512ACF"/>
    <w:rsid w:val="0052196A"/>
    <w:rsid w:val="00523918"/>
    <w:rsid w:val="005330C7"/>
    <w:rsid w:val="0053467E"/>
    <w:rsid w:val="005354D0"/>
    <w:rsid w:val="0054172C"/>
    <w:rsid w:val="0054590F"/>
    <w:rsid w:val="005459EC"/>
    <w:rsid w:val="00545B78"/>
    <w:rsid w:val="0055094F"/>
    <w:rsid w:val="00552ED3"/>
    <w:rsid w:val="00553B06"/>
    <w:rsid w:val="00555F4F"/>
    <w:rsid w:val="00556D02"/>
    <w:rsid w:val="0056185D"/>
    <w:rsid w:val="005656F9"/>
    <w:rsid w:val="005709DC"/>
    <w:rsid w:val="005718B5"/>
    <w:rsid w:val="005808FB"/>
    <w:rsid w:val="00581084"/>
    <w:rsid w:val="00581435"/>
    <w:rsid w:val="00582605"/>
    <w:rsid w:val="00584249"/>
    <w:rsid w:val="005860B3"/>
    <w:rsid w:val="005903DA"/>
    <w:rsid w:val="00591016"/>
    <w:rsid w:val="005A0125"/>
    <w:rsid w:val="005A1F1D"/>
    <w:rsid w:val="005A2B96"/>
    <w:rsid w:val="005A48C8"/>
    <w:rsid w:val="005A550F"/>
    <w:rsid w:val="005A580D"/>
    <w:rsid w:val="005B218E"/>
    <w:rsid w:val="005B3F67"/>
    <w:rsid w:val="005B493C"/>
    <w:rsid w:val="005B5998"/>
    <w:rsid w:val="005B5CBC"/>
    <w:rsid w:val="005B61E7"/>
    <w:rsid w:val="005C545B"/>
    <w:rsid w:val="005D548F"/>
    <w:rsid w:val="005D5DB8"/>
    <w:rsid w:val="005D5E33"/>
    <w:rsid w:val="005D6EF5"/>
    <w:rsid w:val="005E3A10"/>
    <w:rsid w:val="005E5AAC"/>
    <w:rsid w:val="005E7509"/>
    <w:rsid w:val="005F4153"/>
    <w:rsid w:val="006026B3"/>
    <w:rsid w:val="0060632D"/>
    <w:rsid w:val="00607458"/>
    <w:rsid w:val="00610620"/>
    <w:rsid w:val="006202F0"/>
    <w:rsid w:val="006205F1"/>
    <w:rsid w:val="006214A4"/>
    <w:rsid w:val="00621DA0"/>
    <w:rsid w:val="006267BE"/>
    <w:rsid w:val="006316A9"/>
    <w:rsid w:val="006377CF"/>
    <w:rsid w:val="006411E7"/>
    <w:rsid w:val="00645089"/>
    <w:rsid w:val="00645B8B"/>
    <w:rsid w:val="00647147"/>
    <w:rsid w:val="00647739"/>
    <w:rsid w:val="00652028"/>
    <w:rsid w:val="006527E5"/>
    <w:rsid w:val="00655044"/>
    <w:rsid w:val="00665866"/>
    <w:rsid w:val="00666922"/>
    <w:rsid w:val="00667E1A"/>
    <w:rsid w:val="00670F17"/>
    <w:rsid w:val="006710C7"/>
    <w:rsid w:val="00671270"/>
    <w:rsid w:val="0067199D"/>
    <w:rsid w:val="00671B1A"/>
    <w:rsid w:val="00677016"/>
    <w:rsid w:val="0068167A"/>
    <w:rsid w:val="006833C4"/>
    <w:rsid w:val="00686878"/>
    <w:rsid w:val="006908BA"/>
    <w:rsid w:val="0069093E"/>
    <w:rsid w:val="00696A83"/>
    <w:rsid w:val="006A23A4"/>
    <w:rsid w:val="006A58C4"/>
    <w:rsid w:val="006A6E6E"/>
    <w:rsid w:val="006B323A"/>
    <w:rsid w:val="006B349C"/>
    <w:rsid w:val="006B4357"/>
    <w:rsid w:val="006B4C9F"/>
    <w:rsid w:val="006B557A"/>
    <w:rsid w:val="006B5FFE"/>
    <w:rsid w:val="006C2054"/>
    <w:rsid w:val="006C3F47"/>
    <w:rsid w:val="006C40EE"/>
    <w:rsid w:val="006C580A"/>
    <w:rsid w:val="006C6496"/>
    <w:rsid w:val="006D1E69"/>
    <w:rsid w:val="006D4BE0"/>
    <w:rsid w:val="006D557F"/>
    <w:rsid w:val="006D78DC"/>
    <w:rsid w:val="006E0FA0"/>
    <w:rsid w:val="006E1A82"/>
    <w:rsid w:val="006E266D"/>
    <w:rsid w:val="006E3FE1"/>
    <w:rsid w:val="006F057C"/>
    <w:rsid w:val="006F22DA"/>
    <w:rsid w:val="006F2EB3"/>
    <w:rsid w:val="00701E91"/>
    <w:rsid w:val="00704D16"/>
    <w:rsid w:val="00707869"/>
    <w:rsid w:val="007101DD"/>
    <w:rsid w:val="007104B9"/>
    <w:rsid w:val="007116B1"/>
    <w:rsid w:val="0071234B"/>
    <w:rsid w:val="00712B5D"/>
    <w:rsid w:val="00714BEE"/>
    <w:rsid w:val="00716032"/>
    <w:rsid w:val="00716F19"/>
    <w:rsid w:val="00721215"/>
    <w:rsid w:val="00721BF0"/>
    <w:rsid w:val="00722268"/>
    <w:rsid w:val="00731C23"/>
    <w:rsid w:val="007400CF"/>
    <w:rsid w:val="00747FE0"/>
    <w:rsid w:val="00752B63"/>
    <w:rsid w:val="00753714"/>
    <w:rsid w:val="00753B94"/>
    <w:rsid w:val="0075478E"/>
    <w:rsid w:val="00757F38"/>
    <w:rsid w:val="007605A7"/>
    <w:rsid w:val="00760907"/>
    <w:rsid w:val="00767F1E"/>
    <w:rsid w:val="007707DB"/>
    <w:rsid w:val="0077124B"/>
    <w:rsid w:val="00776FC8"/>
    <w:rsid w:val="00780415"/>
    <w:rsid w:val="0079723C"/>
    <w:rsid w:val="007A3EB8"/>
    <w:rsid w:val="007A4C99"/>
    <w:rsid w:val="007A59E2"/>
    <w:rsid w:val="007B23FC"/>
    <w:rsid w:val="007C03AA"/>
    <w:rsid w:val="007D0C1D"/>
    <w:rsid w:val="007D2000"/>
    <w:rsid w:val="007D4571"/>
    <w:rsid w:val="007D4DBF"/>
    <w:rsid w:val="007E0281"/>
    <w:rsid w:val="007E0400"/>
    <w:rsid w:val="007E4732"/>
    <w:rsid w:val="007E4BA4"/>
    <w:rsid w:val="007F004E"/>
    <w:rsid w:val="007F2E03"/>
    <w:rsid w:val="007F335A"/>
    <w:rsid w:val="0080009A"/>
    <w:rsid w:val="00801A02"/>
    <w:rsid w:val="008020C1"/>
    <w:rsid w:val="0080231D"/>
    <w:rsid w:val="00803104"/>
    <w:rsid w:val="00804860"/>
    <w:rsid w:val="00812901"/>
    <w:rsid w:val="00812E68"/>
    <w:rsid w:val="0081700F"/>
    <w:rsid w:val="008176FF"/>
    <w:rsid w:val="008235B4"/>
    <w:rsid w:val="00826B9A"/>
    <w:rsid w:val="008270CB"/>
    <w:rsid w:val="00827BFF"/>
    <w:rsid w:val="00833366"/>
    <w:rsid w:val="00834760"/>
    <w:rsid w:val="008351F3"/>
    <w:rsid w:val="008419D3"/>
    <w:rsid w:val="00844216"/>
    <w:rsid w:val="00845015"/>
    <w:rsid w:val="00850715"/>
    <w:rsid w:val="0085266D"/>
    <w:rsid w:val="008534E3"/>
    <w:rsid w:val="00853DBB"/>
    <w:rsid w:val="00860D40"/>
    <w:rsid w:val="00866EF2"/>
    <w:rsid w:val="008700B7"/>
    <w:rsid w:val="00870FC6"/>
    <w:rsid w:val="00874136"/>
    <w:rsid w:val="00877807"/>
    <w:rsid w:val="0088026B"/>
    <w:rsid w:val="0088523D"/>
    <w:rsid w:val="008863FD"/>
    <w:rsid w:val="008A2A9A"/>
    <w:rsid w:val="008A3464"/>
    <w:rsid w:val="008A5AA0"/>
    <w:rsid w:val="008B1E72"/>
    <w:rsid w:val="008B2D2F"/>
    <w:rsid w:val="008C0F4A"/>
    <w:rsid w:val="008C266E"/>
    <w:rsid w:val="008D6550"/>
    <w:rsid w:val="008E04B5"/>
    <w:rsid w:val="008E224D"/>
    <w:rsid w:val="008E3643"/>
    <w:rsid w:val="008F4A7C"/>
    <w:rsid w:val="00903448"/>
    <w:rsid w:val="00922BBE"/>
    <w:rsid w:val="0092530B"/>
    <w:rsid w:val="0092649C"/>
    <w:rsid w:val="0092758E"/>
    <w:rsid w:val="009328CE"/>
    <w:rsid w:val="00932F77"/>
    <w:rsid w:val="0093317F"/>
    <w:rsid w:val="00934581"/>
    <w:rsid w:val="0093480E"/>
    <w:rsid w:val="00941B5D"/>
    <w:rsid w:val="0094208C"/>
    <w:rsid w:val="00942F17"/>
    <w:rsid w:val="009454B8"/>
    <w:rsid w:val="00946999"/>
    <w:rsid w:val="00952CEF"/>
    <w:rsid w:val="009546EC"/>
    <w:rsid w:val="00955421"/>
    <w:rsid w:val="00955623"/>
    <w:rsid w:val="00957CAA"/>
    <w:rsid w:val="009655B2"/>
    <w:rsid w:val="0096576E"/>
    <w:rsid w:val="009659CE"/>
    <w:rsid w:val="00970615"/>
    <w:rsid w:val="00971061"/>
    <w:rsid w:val="00987879"/>
    <w:rsid w:val="00990E9C"/>
    <w:rsid w:val="00994542"/>
    <w:rsid w:val="00994908"/>
    <w:rsid w:val="00995036"/>
    <w:rsid w:val="009967CC"/>
    <w:rsid w:val="009A1DE8"/>
    <w:rsid w:val="009A1EB4"/>
    <w:rsid w:val="009B160B"/>
    <w:rsid w:val="009C237B"/>
    <w:rsid w:val="009C66CD"/>
    <w:rsid w:val="009C707E"/>
    <w:rsid w:val="009D0B78"/>
    <w:rsid w:val="009E5A93"/>
    <w:rsid w:val="009E757D"/>
    <w:rsid w:val="009F2B53"/>
    <w:rsid w:val="00A02BDA"/>
    <w:rsid w:val="00A060D5"/>
    <w:rsid w:val="00A077CB"/>
    <w:rsid w:val="00A10783"/>
    <w:rsid w:val="00A1344D"/>
    <w:rsid w:val="00A13A13"/>
    <w:rsid w:val="00A147A3"/>
    <w:rsid w:val="00A164AE"/>
    <w:rsid w:val="00A20113"/>
    <w:rsid w:val="00A20D78"/>
    <w:rsid w:val="00A213F0"/>
    <w:rsid w:val="00A21A8F"/>
    <w:rsid w:val="00A2215F"/>
    <w:rsid w:val="00A22839"/>
    <w:rsid w:val="00A23E19"/>
    <w:rsid w:val="00A25BBD"/>
    <w:rsid w:val="00A26D84"/>
    <w:rsid w:val="00A31625"/>
    <w:rsid w:val="00A33185"/>
    <w:rsid w:val="00A402B7"/>
    <w:rsid w:val="00A40C74"/>
    <w:rsid w:val="00A42B52"/>
    <w:rsid w:val="00A43C95"/>
    <w:rsid w:val="00A44FFE"/>
    <w:rsid w:val="00A53B04"/>
    <w:rsid w:val="00A559AA"/>
    <w:rsid w:val="00A5663F"/>
    <w:rsid w:val="00A56ABC"/>
    <w:rsid w:val="00A57240"/>
    <w:rsid w:val="00A642B1"/>
    <w:rsid w:val="00A661F4"/>
    <w:rsid w:val="00A7271A"/>
    <w:rsid w:val="00A81E19"/>
    <w:rsid w:val="00A84D8A"/>
    <w:rsid w:val="00A87D16"/>
    <w:rsid w:val="00A93C4F"/>
    <w:rsid w:val="00A95FDF"/>
    <w:rsid w:val="00AA0B1E"/>
    <w:rsid w:val="00AA20D2"/>
    <w:rsid w:val="00AB1E78"/>
    <w:rsid w:val="00AB2335"/>
    <w:rsid w:val="00AB5233"/>
    <w:rsid w:val="00AB795F"/>
    <w:rsid w:val="00AC047A"/>
    <w:rsid w:val="00AC3A95"/>
    <w:rsid w:val="00AC6312"/>
    <w:rsid w:val="00AC79A2"/>
    <w:rsid w:val="00AD1865"/>
    <w:rsid w:val="00AD6AF3"/>
    <w:rsid w:val="00AD6D80"/>
    <w:rsid w:val="00AD72C7"/>
    <w:rsid w:val="00AE4CAC"/>
    <w:rsid w:val="00AF48B4"/>
    <w:rsid w:val="00AF647A"/>
    <w:rsid w:val="00B018EA"/>
    <w:rsid w:val="00B03CD2"/>
    <w:rsid w:val="00B1160D"/>
    <w:rsid w:val="00B1220B"/>
    <w:rsid w:val="00B14F85"/>
    <w:rsid w:val="00B2682B"/>
    <w:rsid w:val="00B26E17"/>
    <w:rsid w:val="00B33A7F"/>
    <w:rsid w:val="00B35A4D"/>
    <w:rsid w:val="00B444E6"/>
    <w:rsid w:val="00B449E0"/>
    <w:rsid w:val="00B52011"/>
    <w:rsid w:val="00B53EFF"/>
    <w:rsid w:val="00B54AFA"/>
    <w:rsid w:val="00B6109C"/>
    <w:rsid w:val="00B6199E"/>
    <w:rsid w:val="00B6239D"/>
    <w:rsid w:val="00B6470F"/>
    <w:rsid w:val="00B65143"/>
    <w:rsid w:val="00B65272"/>
    <w:rsid w:val="00B66C2F"/>
    <w:rsid w:val="00B66C4F"/>
    <w:rsid w:val="00B671A4"/>
    <w:rsid w:val="00B770D6"/>
    <w:rsid w:val="00B804AB"/>
    <w:rsid w:val="00B804E8"/>
    <w:rsid w:val="00B81030"/>
    <w:rsid w:val="00B86A9F"/>
    <w:rsid w:val="00B90886"/>
    <w:rsid w:val="00B922F3"/>
    <w:rsid w:val="00B94FF7"/>
    <w:rsid w:val="00B95572"/>
    <w:rsid w:val="00BA4CD7"/>
    <w:rsid w:val="00BB0C67"/>
    <w:rsid w:val="00BB327E"/>
    <w:rsid w:val="00BB7863"/>
    <w:rsid w:val="00BC206C"/>
    <w:rsid w:val="00BC431A"/>
    <w:rsid w:val="00BC4ACA"/>
    <w:rsid w:val="00BD0159"/>
    <w:rsid w:val="00BD01DC"/>
    <w:rsid w:val="00BD47C1"/>
    <w:rsid w:val="00BD6AE3"/>
    <w:rsid w:val="00BE0864"/>
    <w:rsid w:val="00BE2552"/>
    <w:rsid w:val="00BE6500"/>
    <w:rsid w:val="00BE6FFC"/>
    <w:rsid w:val="00BF1850"/>
    <w:rsid w:val="00BF1A03"/>
    <w:rsid w:val="00BF4B85"/>
    <w:rsid w:val="00BF56CF"/>
    <w:rsid w:val="00BF73B9"/>
    <w:rsid w:val="00C01A35"/>
    <w:rsid w:val="00C02921"/>
    <w:rsid w:val="00C0365E"/>
    <w:rsid w:val="00C03772"/>
    <w:rsid w:val="00C04E54"/>
    <w:rsid w:val="00C04EDA"/>
    <w:rsid w:val="00C07745"/>
    <w:rsid w:val="00C10883"/>
    <w:rsid w:val="00C108A7"/>
    <w:rsid w:val="00C119A2"/>
    <w:rsid w:val="00C2180B"/>
    <w:rsid w:val="00C233C3"/>
    <w:rsid w:val="00C23EA8"/>
    <w:rsid w:val="00C26346"/>
    <w:rsid w:val="00C36249"/>
    <w:rsid w:val="00C3749E"/>
    <w:rsid w:val="00C412DB"/>
    <w:rsid w:val="00C50108"/>
    <w:rsid w:val="00C51AFF"/>
    <w:rsid w:val="00C56A79"/>
    <w:rsid w:val="00C57267"/>
    <w:rsid w:val="00C60E95"/>
    <w:rsid w:val="00C61E0C"/>
    <w:rsid w:val="00C62B63"/>
    <w:rsid w:val="00C66125"/>
    <w:rsid w:val="00C71771"/>
    <w:rsid w:val="00C72785"/>
    <w:rsid w:val="00C72B5B"/>
    <w:rsid w:val="00C7466A"/>
    <w:rsid w:val="00C81CB0"/>
    <w:rsid w:val="00C821A5"/>
    <w:rsid w:val="00C86A75"/>
    <w:rsid w:val="00C93BE7"/>
    <w:rsid w:val="00CA31FF"/>
    <w:rsid w:val="00CA7453"/>
    <w:rsid w:val="00CB0C7B"/>
    <w:rsid w:val="00CB2361"/>
    <w:rsid w:val="00CB3F2C"/>
    <w:rsid w:val="00CB78A8"/>
    <w:rsid w:val="00CC03A8"/>
    <w:rsid w:val="00CC5D87"/>
    <w:rsid w:val="00CC5DC9"/>
    <w:rsid w:val="00CD32FB"/>
    <w:rsid w:val="00CD7D5D"/>
    <w:rsid w:val="00CE1641"/>
    <w:rsid w:val="00CE20A0"/>
    <w:rsid w:val="00CE2A7D"/>
    <w:rsid w:val="00CE5688"/>
    <w:rsid w:val="00CE71AB"/>
    <w:rsid w:val="00CF0250"/>
    <w:rsid w:val="00CF0FC4"/>
    <w:rsid w:val="00CF3BDA"/>
    <w:rsid w:val="00CF6932"/>
    <w:rsid w:val="00D01FE3"/>
    <w:rsid w:val="00D02084"/>
    <w:rsid w:val="00D04DFD"/>
    <w:rsid w:val="00D06214"/>
    <w:rsid w:val="00D06CA3"/>
    <w:rsid w:val="00D07F46"/>
    <w:rsid w:val="00D12505"/>
    <w:rsid w:val="00D162D7"/>
    <w:rsid w:val="00D170E5"/>
    <w:rsid w:val="00D30F4D"/>
    <w:rsid w:val="00D3180D"/>
    <w:rsid w:val="00D33987"/>
    <w:rsid w:val="00D341F0"/>
    <w:rsid w:val="00D37F2F"/>
    <w:rsid w:val="00D40BE4"/>
    <w:rsid w:val="00D415B9"/>
    <w:rsid w:val="00D44F38"/>
    <w:rsid w:val="00D521A5"/>
    <w:rsid w:val="00D528E8"/>
    <w:rsid w:val="00D60E0E"/>
    <w:rsid w:val="00D61159"/>
    <w:rsid w:val="00D701F3"/>
    <w:rsid w:val="00D7132F"/>
    <w:rsid w:val="00D75E2B"/>
    <w:rsid w:val="00D771D0"/>
    <w:rsid w:val="00D80204"/>
    <w:rsid w:val="00D81533"/>
    <w:rsid w:val="00D835CF"/>
    <w:rsid w:val="00D84A21"/>
    <w:rsid w:val="00D879F4"/>
    <w:rsid w:val="00DA04F7"/>
    <w:rsid w:val="00DA26FB"/>
    <w:rsid w:val="00DB6C3D"/>
    <w:rsid w:val="00DC1D6D"/>
    <w:rsid w:val="00DC22B8"/>
    <w:rsid w:val="00DC5ACF"/>
    <w:rsid w:val="00DC7FD5"/>
    <w:rsid w:val="00DD3298"/>
    <w:rsid w:val="00DD3E6B"/>
    <w:rsid w:val="00DD7468"/>
    <w:rsid w:val="00DE25E9"/>
    <w:rsid w:val="00DE2AA7"/>
    <w:rsid w:val="00DE31C1"/>
    <w:rsid w:val="00DE71D3"/>
    <w:rsid w:val="00DE72CF"/>
    <w:rsid w:val="00DF08A0"/>
    <w:rsid w:val="00DF20BA"/>
    <w:rsid w:val="00E048A7"/>
    <w:rsid w:val="00E12ED9"/>
    <w:rsid w:val="00E140CF"/>
    <w:rsid w:val="00E219FE"/>
    <w:rsid w:val="00E24350"/>
    <w:rsid w:val="00E3124F"/>
    <w:rsid w:val="00E33182"/>
    <w:rsid w:val="00E43291"/>
    <w:rsid w:val="00E44F01"/>
    <w:rsid w:val="00E45E7B"/>
    <w:rsid w:val="00E477CA"/>
    <w:rsid w:val="00E55422"/>
    <w:rsid w:val="00E65604"/>
    <w:rsid w:val="00E66F44"/>
    <w:rsid w:val="00E67AF3"/>
    <w:rsid w:val="00E70760"/>
    <w:rsid w:val="00E8097A"/>
    <w:rsid w:val="00E83DED"/>
    <w:rsid w:val="00E9170A"/>
    <w:rsid w:val="00E9253C"/>
    <w:rsid w:val="00EA0493"/>
    <w:rsid w:val="00EA1406"/>
    <w:rsid w:val="00EA1B6D"/>
    <w:rsid w:val="00EB45B5"/>
    <w:rsid w:val="00EB4CD3"/>
    <w:rsid w:val="00EB58A3"/>
    <w:rsid w:val="00EB5E57"/>
    <w:rsid w:val="00EB61DB"/>
    <w:rsid w:val="00ED4AFD"/>
    <w:rsid w:val="00ED7CE0"/>
    <w:rsid w:val="00EE254D"/>
    <w:rsid w:val="00EE31D1"/>
    <w:rsid w:val="00EE4FBE"/>
    <w:rsid w:val="00EF1340"/>
    <w:rsid w:val="00EF4E33"/>
    <w:rsid w:val="00EF5B0E"/>
    <w:rsid w:val="00EF6CE5"/>
    <w:rsid w:val="00F00773"/>
    <w:rsid w:val="00F011BC"/>
    <w:rsid w:val="00F021AB"/>
    <w:rsid w:val="00F06C00"/>
    <w:rsid w:val="00F2164B"/>
    <w:rsid w:val="00F33B4C"/>
    <w:rsid w:val="00F34574"/>
    <w:rsid w:val="00F367D4"/>
    <w:rsid w:val="00F458A2"/>
    <w:rsid w:val="00F535AF"/>
    <w:rsid w:val="00F538A8"/>
    <w:rsid w:val="00F5649A"/>
    <w:rsid w:val="00F5730F"/>
    <w:rsid w:val="00F67DC5"/>
    <w:rsid w:val="00F75286"/>
    <w:rsid w:val="00F82342"/>
    <w:rsid w:val="00F854CD"/>
    <w:rsid w:val="00F877DB"/>
    <w:rsid w:val="00F91811"/>
    <w:rsid w:val="00F91AE4"/>
    <w:rsid w:val="00F93C8B"/>
    <w:rsid w:val="00F955E6"/>
    <w:rsid w:val="00F959DD"/>
    <w:rsid w:val="00F960D5"/>
    <w:rsid w:val="00FB1231"/>
    <w:rsid w:val="00FB5EFF"/>
    <w:rsid w:val="00FC1C5C"/>
    <w:rsid w:val="00FC2D21"/>
    <w:rsid w:val="00FD36F6"/>
    <w:rsid w:val="00FD4950"/>
    <w:rsid w:val="00FD7F6E"/>
    <w:rsid w:val="00FE044F"/>
    <w:rsid w:val="00FE17E2"/>
    <w:rsid w:val="00FE7576"/>
    <w:rsid w:val="00FF6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23843"/>
  <w15:docId w15:val="{15DC5CA4-54DE-4645-96C3-9714E9F8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paragraph" w:styleId="BalloonText">
    <w:name w:val="Balloon Text"/>
    <w:basedOn w:val="Normal"/>
    <w:link w:val="BalloonTextChar"/>
    <w:rsid w:val="005F4153"/>
    <w:rPr>
      <w:rFonts w:ascii="Tahoma" w:hAnsi="Tahoma" w:cs="Tahoma"/>
      <w:sz w:val="16"/>
      <w:szCs w:val="16"/>
    </w:rPr>
  </w:style>
  <w:style w:type="character" w:customStyle="1" w:styleId="BalloonTextChar">
    <w:name w:val="Balloon Text Char"/>
    <w:basedOn w:val="DefaultParagraphFont"/>
    <w:link w:val="BalloonText"/>
    <w:rsid w:val="005F4153"/>
    <w:rPr>
      <w:rFonts w:ascii="Tahoma" w:hAnsi="Tahoma" w:cs="Tahoma"/>
      <w:sz w:val="16"/>
      <w:szCs w:val="16"/>
      <w:lang w:eastAsia="en-US"/>
    </w:rPr>
  </w:style>
  <w:style w:type="character" w:customStyle="1" w:styleId="Heading1Char">
    <w:name w:val="Heading 1 Char"/>
    <w:basedOn w:val="DefaultParagraphFont"/>
    <w:link w:val="Heading1"/>
    <w:uiPriority w:val="9"/>
    <w:locked/>
    <w:rsid w:val="00A93C4F"/>
    <w:rPr>
      <w:rFonts w:ascii="Arial Black" w:hAnsi="Arial Black" w:cs="Arial"/>
      <w:bCs/>
      <w:sz w:val="32"/>
      <w:szCs w:val="32"/>
      <w:lang w:eastAsia="en-US"/>
    </w:rPr>
  </w:style>
  <w:style w:type="character" w:styleId="CommentReference">
    <w:name w:val="annotation reference"/>
    <w:basedOn w:val="DefaultParagraphFont"/>
    <w:semiHidden/>
    <w:unhideWhenUsed/>
    <w:rsid w:val="00B2682B"/>
    <w:rPr>
      <w:sz w:val="16"/>
      <w:szCs w:val="16"/>
    </w:rPr>
  </w:style>
  <w:style w:type="paragraph" w:styleId="CommentText">
    <w:name w:val="annotation text"/>
    <w:basedOn w:val="Normal"/>
    <w:link w:val="CommentTextChar"/>
    <w:semiHidden/>
    <w:unhideWhenUsed/>
    <w:rsid w:val="00B2682B"/>
    <w:rPr>
      <w:sz w:val="20"/>
    </w:rPr>
  </w:style>
  <w:style w:type="character" w:customStyle="1" w:styleId="CommentTextChar">
    <w:name w:val="Comment Text Char"/>
    <w:basedOn w:val="DefaultParagraphFont"/>
    <w:link w:val="CommentText"/>
    <w:semiHidden/>
    <w:rsid w:val="00B2682B"/>
    <w:rPr>
      <w:rFonts w:ascii="Arial" w:hAnsi="Arial"/>
      <w:lang w:eastAsia="en-US"/>
    </w:rPr>
  </w:style>
  <w:style w:type="paragraph" w:styleId="CommentSubject">
    <w:name w:val="annotation subject"/>
    <w:basedOn w:val="CommentText"/>
    <w:next w:val="CommentText"/>
    <w:link w:val="CommentSubjectChar"/>
    <w:semiHidden/>
    <w:unhideWhenUsed/>
    <w:rsid w:val="00B2682B"/>
    <w:rPr>
      <w:b/>
      <w:bCs/>
    </w:rPr>
  </w:style>
  <w:style w:type="character" w:customStyle="1" w:styleId="CommentSubjectChar">
    <w:name w:val="Comment Subject Char"/>
    <w:basedOn w:val="CommentTextChar"/>
    <w:link w:val="CommentSubject"/>
    <w:semiHidden/>
    <w:rsid w:val="00B2682B"/>
    <w:rPr>
      <w:rFonts w:ascii="Arial" w:hAnsi="Arial"/>
      <w:b/>
      <w:bCs/>
      <w:lang w:eastAsia="en-US"/>
    </w:rPr>
  </w:style>
  <w:style w:type="paragraph" w:customStyle="1" w:styleId="Default">
    <w:name w:val="Default"/>
    <w:rsid w:val="00504012"/>
    <w:pPr>
      <w:autoSpaceDE w:val="0"/>
      <w:autoSpaceDN w:val="0"/>
      <w:adjustRightInd w:val="0"/>
    </w:pPr>
    <w:rPr>
      <w:rFonts w:ascii="Arial" w:hAnsi="Arial" w:cs="Arial"/>
      <w:color w:val="000000"/>
      <w:sz w:val="24"/>
      <w:szCs w:val="24"/>
    </w:rPr>
  </w:style>
  <w:style w:type="table" w:customStyle="1" w:styleId="Style1">
    <w:name w:val="Style1"/>
    <w:basedOn w:val="TableNormal"/>
    <w:uiPriority w:val="99"/>
    <w:rsid w:val="005B5CBC"/>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070">
      <w:bodyDiv w:val="1"/>
      <w:marLeft w:val="0"/>
      <w:marRight w:val="0"/>
      <w:marTop w:val="0"/>
      <w:marBottom w:val="0"/>
      <w:divBdr>
        <w:top w:val="none" w:sz="0" w:space="0" w:color="auto"/>
        <w:left w:val="none" w:sz="0" w:space="0" w:color="auto"/>
        <w:bottom w:val="none" w:sz="0" w:space="0" w:color="auto"/>
        <w:right w:val="none" w:sz="0" w:space="0" w:color="auto"/>
      </w:divBdr>
    </w:div>
    <w:div w:id="56369009">
      <w:bodyDiv w:val="1"/>
      <w:marLeft w:val="0"/>
      <w:marRight w:val="0"/>
      <w:marTop w:val="0"/>
      <w:marBottom w:val="0"/>
      <w:divBdr>
        <w:top w:val="none" w:sz="0" w:space="0" w:color="auto"/>
        <w:left w:val="none" w:sz="0" w:space="0" w:color="auto"/>
        <w:bottom w:val="none" w:sz="0" w:space="0" w:color="auto"/>
        <w:right w:val="none" w:sz="0" w:space="0" w:color="auto"/>
      </w:divBdr>
    </w:div>
    <w:div w:id="85923694">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79201105">
      <w:bodyDiv w:val="1"/>
      <w:marLeft w:val="0"/>
      <w:marRight w:val="0"/>
      <w:marTop w:val="0"/>
      <w:marBottom w:val="0"/>
      <w:divBdr>
        <w:top w:val="none" w:sz="0" w:space="0" w:color="auto"/>
        <w:left w:val="none" w:sz="0" w:space="0" w:color="auto"/>
        <w:bottom w:val="none" w:sz="0" w:space="0" w:color="auto"/>
        <w:right w:val="none" w:sz="0" w:space="0" w:color="auto"/>
      </w:divBdr>
    </w:div>
    <w:div w:id="252251271">
      <w:bodyDiv w:val="1"/>
      <w:marLeft w:val="0"/>
      <w:marRight w:val="0"/>
      <w:marTop w:val="0"/>
      <w:marBottom w:val="0"/>
      <w:divBdr>
        <w:top w:val="none" w:sz="0" w:space="0" w:color="auto"/>
        <w:left w:val="none" w:sz="0" w:space="0" w:color="auto"/>
        <w:bottom w:val="none" w:sz="0" w:space="0" w:color="auto"/>
        <w:right w:val="none" w:sz="0" w:space="0" w:color="auto"/>
      </w:divBdr>
    </w:div>
    <w:div w:id="261227407">
      <w:bodyDiv w:val="1"/>
      <w:marLeft w:val="0"/>
      <w:marRight w:val="0"/>
      <w:marTop w:val="0"/>
      <w:marBottom w:val="0"/>
      <w:divBdr>
        <w:top w:val="none" w:sz="0" w:space="0" w:color="auto"/>
        <w:left w:val="none" w:sz="0" w:space="0" w:color="auto"/>
        <w:bottom w:val="none" w:sz="0" w:space="0" w:color="auto"/>
        <w:right w:val="none" w:sz="0" w:space="0" w:color="auto"/>
      </w:divBdr>
    </w:div>
    <w:div w:id="328407142">
      <w:bodyDiv w:val="1"/>
      <w:marLeft w:val="0"/>
      <w:marRight w:val="0"/>
      <w:marTop w:val="0"/>
      <w:marBottom w:val="0"/>
      <w:divBdr>
        <w:top w:val="none" w:sz="0" w:space="0" w:color="auto"/>
        <w:left w:val="none" w:sz="0" w:space="0" w:color="auto"/>
        <w:bottom w:val="none" w:sz="0" w:space="0" w:color="auto"/>
        <w:right w:val="none" w:sz="0" w:space="0" w:color="auto"/>
      </w:divBdr>
    </w:div>
    <w:div w:id="348333378">
      <w:bodyDiv w:val="1"/>
      <w:marLeft w:val="0"/>
      <w:marRight w:val="0"/>
      <w:marTop w:val="0"/>
      <w:marBottom w:val="0"/>
      <w:divBdr>
        <w:top w:val="none" w:sz="0" w:space="0" w:color="auto"/>
        <w:left w:val="none" w:sz="0" w:space="0" w:color="auto"/>
        <w:bottom w:val="none" w:sz="0" w:space="0" w:color="auto"/>
        <w:right w:val="none" w:sz="0" w:space="0" w:color="auto"/>
      </w:divBdr>
    </w:div>
    <w:div w:id="411314451">
      <w:bodyDiv w:val="1"/>
      <w:marLeft w:val="0"/>
      <w:marRight w:val="0"/>
      <w:marTop w:val="0"/>
      <w:marBottom w:val="0"/>
      <w:divBdr>
        <w:top w:val="none" w:sz="0" w:space="0" w:color="auto"/>
        <w:left w:val="none" w:sz="0" w:space="0" w:color="auto"/>
        <w:bottom w:val="none" w:sz="0" w:space="0" w:color="auto"/>
        <w:right w:val="none" w:sz="0" w:space="0" w:color="auto"/>
      </w:divBdr>
    </w:div>
    <w:div w:id="44901622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0604819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6143040">
      <w:bodyDiv w:val="1"/>
      <w:marLeft w:val="0"/>
      <w:marRight w:val="0"/>
      <w:marTop w:val="0"/>
      <w:marBottom w:val="0"/>
      <w:divBdr>
        <w:top w:val="none" w:sz="0" w:space="0" w:color="auto"/>
        <w:left w:val="none" w:sz="0" w:space="0" w:color="auto"/>
        <w:bottom w:val="none" w:sz="0" w:space="0" w:color="auto"/>
        <w:right w:val="none" w:sz="0" w:space="0" w:color="auto"/>
      </w:divBdr>
    </w:div>
    <w:div w:id="1081878549">
      <w:bodyDiv w:val="1"/>
      <w:marLeft w:val="0"/>
      <w:marRight w:val="0"/>
      <w:marTop w:val="0"/>
      <w:marBottom w:val="0"/>
      <w:divBdr>
        <w:top w:val="none" w:sz="0" w:space="0" w:color="auto"/>
        <w:left w:val="none" w:sz="0" w:space="0" w:color="auto"/>
        <w:bottom w:val="none" w:sz="0" w:space="0" w:color="auto"/>
        <w:right w:val="none" w:sz="0" w:space="0" w:color="auto"/>
      </w:divBdr>
    </w:div>
    <w:div w:id="1281498177">
      <w:bodyDiv w:val="1"/>
      <w:marLeft w:val="0"/>
      <w:marRight w:val="0"/>
      <w:marTop w:val="0"/>
      <w:marBottom w:val="0"/>
      <w:divBdr>
        <w:top w:val="none" w:sz="0" w:space="0" w:color="auto"/>
        <w:left w:val="none" w:sz="0" w:space="0" w:color="auto"/>
        <w:bottom w:val="none" w:sz="0" w:space="0" w:color="auto"/>
        <w:right w:val="none" w:sz="0" w:space="0" w:color="auto"/>
      </w:divBdr>
    </w:div>
    <w:div w:id="1394543472">
      <w:bodyDiv w:val="1"/>
      <w:marLeft w:val="0"/>
      <w:marRight w:val="0"/>
      <w:marTop w:val="0"/>
      <w:marBottom w:val="0"/>
      <w:divBdr>
        <w:top w:val="none" w:sz="0" w:space="0" w:color="auto"/>
        <w:left w:val="none" w:sz="0" w:space="0" w:color="auto"/>
        <w:bottom w:val="none" w:sz="0" w:space="0" w:color="auto"/>
        <w:right w:val="none" w:sz="0" w:space="0" w:color="auto"/>
      </w:divBdr>
    </w:div>
    <w:div w:id="1817531499">
      <w:bodyDiv w:val="1"/>
      <w:marLeft w:val="0"/>
      <w:marRight w:val="0"/>
      <w:marTop w:val="0"/>
      <w:marBottom w:val="0"/>
      <w:divBdr>
        <w:top w:val="none" w:sz="0" w:space="0" w:color="auto"/>
        <w:left w:val="none" w:sz="0" w:space="0" w:color="auto"/>
        <w:bottom w:val="none" w:sz="0" w:space="0" w:color="auto"/>
        <w:right w:val="none" w:sz="0" w:space="0" w:color="auto"/>
      </w:divBdr>
    </w:div>
    <w:div w:id="1825268907">
      <w:bodyDiv w:val="1"/>
      <w:marLeft w:val="0"/>
      <w:marRight w:val="0"/>
      <w:marTop w:val="0"/>
      <w:marBottom w:val="0"/>
      <w:divBdr>
        <w:top w:val="none" w:sz="0" w:space="0" w:color="auto"/>
        <w:left w:val="none" w:sz="0" w:space="0" w:color="auto"/>
        <w:bottom w:val="none" w:sz="0" w:space="0" w:color="auto"/>
        <w:right w:val="none" w:sz="0" w:space="0" w:color="auto"/>
      </w:divBdr>
    </w:div>
    <w:div w:id="1848905769">
      <w:bodyDiv w:val="1"/>
      <w:marLeft w:val="0"/>
      <w:marRight w:val="0"/>
      <w:marTop w:val="0"/>
      <w:marBottom w:val="0"/>
      <w:divBdr>
        <w:top w:val="none" w:sz="0" w:space="0" w:color="auto"/>
        <w:left w:val="none" w:sz="0" w:space="0" w:color="auto"/>
        <w:bottom w:val="none" w:sz="0" w:space="0" w:color="auto"/>
        <w:right w:val="none" w:sz="0" w:space="0" w:color="auto"/>
      </w:divBdr>
    </w:div>
    <w:div w:id="1936132116">
      <w:bodyDiv w:val="1"/>
      <w:marLeft w:val="0"/>
      <w:marRight w:val="0"/>
      <w:marTop w:val="0"/>
      <w:marBottom w:val="0"/>
      <w:divBdr>
        <w:top w:val="none" w:sz="0" w:space="0" w:color="auto"/>
        <w:left w:val="none" w:sz="0" w:space="0" w:color="auto"/>
        <w:bottom w:val="none" w:sz="0" w:space="0" w:color="auto"/>
        <w:right w:val="none" w:sz="0" w:space="0" w:color="auto"/>
      </w:divBdr>
    </w:div>
    <w:div w:id="1977903820">
      <w:bodyDiv w:val="1"/>
      <w:marLeft w:val="0"/>
      <w:marRight w:val="0"/>
      <w:marTop w:val="0"/>
      <w:marBottom w:val="0"/>
      <w:divBdr>
        <w:top w:val="none" w:sz="0" w:space="0" w:color="auto"/>
        <w:left w:val="none" w:sz="0" w:space="0" w:color="auto"/>
        <w:bottom w:val="none" w:sz="0" w:space="0" w:color="auto"/>
        <w:right w:val="none" w:sz="0" w:space="0" w:color="auto"/>
      </w:divBdr>
    </w:div>
    <w:div w:id="2023389120">
      <w:bodyDiv w:val="1"/>
      <w:marLeft w:val="0"/>
      <w:marRight w:val="0"/>
      <w:marTop w:val="0"/>
      <w:marBottom w:val="0"/>
      <w:divBdr>
        <w:top w:val="none" w:sz="0" w:space="0" w:color="auto"/>
        <w:left w:val="none" w:sz="0" w:space="0" w:color="auto"/>
        <w:bottom w:val="none" w:sz="0" w:space="0" w:color="auto"/>
        <w:right w:val="none" w:sz="0" w:space="0" w:color="auto"/>
      </w:divBdr>
    </w:div>
    <w:div w:id="20575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dsi/2013/9780111532959/cont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1992/14/content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ern.silverio@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b11bda97-64e7-4000-91fd-dcaad77bf85d" ContentTypeId="0x0101000226E4B75CFA47B488D2CEFE4DCFDD64AD" PreviousValue="false"/>
</file>

<file path=customXml/itemProps1.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7287C92A-994A-4275-8CE5-1290D1739E49}">
  <ds:schemaRefs>
    <ds:schemaRef ds:uri="http://schemas.openxmlformats.org/officeDocument/2006/bibliography"/>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5F57FBA5-F6EB-4B7D-81F3-0D8490A9019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3934</Words>
  <Characters>21677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25560</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4</cp:revision>
  <cp:lastPrinted>2021-11-03T09:29:00Z</cp:lastPrinted>
  <dcterms:created xsi:type="dcterms:W3CDTF">2023-01-10T12:37:00Z</dcterms:created>
  <dcterms:modified xsi:type="dcterms:W3CDTF">2023-01-11T14:33:00Z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